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footer1.xml" ContentType="application/vnd.openxmlformats-officedocument.wordprocessingml.footer+xml"/>
  <Override PartName="/word/media/rId44.png" ContentType="image/png"/>
  <Override PartName="/word/media/rId42.png" ContentType="image/png"/>
  <Override PartName="/word/media/rId40.png" ContentType="image/png"/>
  <Override PartName="/word/media/rId39.png" ContentType="image/png"/>
  <Override PartName="/word/media/rId41.png" ContentType="image/png"/>
  <Override PartName="/word/media/rId43.png" ContentType="image/png"/>
  <Override PartName="/word/media/rId35.png" ContentType="image/png"/>
  <Override PartName="/word/media/rId36.png" ContentType="image/png"/>
  <Override PartName="/word/media/rId38.png" ContentType="image/png"/>
  <Override PartName="/word/media/rId27.png" ContentType="image/png"/>
  <Override PartName="/word/media/rId32.png" ContentType="image/png"/>
  <Override PartName="/word/media/image5.png" ContentType="image/png"/>
  <Override PartName="/word/media/image6.png" ContentType="image/png"/>
  <Override PartName="/word/media/image2.png" ContentType="image/png"/>
  <Override PartName="/word/media/image3.png" ContentType="image/png"/>
  <Override PartName="/word/media/image1.png" ContentType="image/png"/>
  <Override PartName="/word/media/image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Zambia</w:t>
      </w:r>
      <w:r>
        <w:t xml:space="preserve"> </w:t>
      </w:r>
      <w:r>
        <w:t xml:space="preserve">CSIP</w:t>
      </w:r>
    </w:p>
    <w:p>
      <w:pPr>
        <w:pStyle w:val="Author"/>
      </w:pPr>
      <w:r>
        <w:t xml:space="preserve">Michiel</w:t>
      </w:r>
      <w:r>
        <w:t xml:space="preserve"> </w:t>
      </w:r>
      <w:r>
        <w:t xml:space="preserve">van</w:t>
      </w:r>
      <w:r>
        <w:t xml:space="preserve"> </w:t>
      </w:r>
      <w:r>
        <w:t xml:space="preserve">Dijk,</w:t>
      </w:r>
      <w:r>
        <w:t xml:space="preserve"> </w:t>
      </w:r>
      <w:r>
        <w:t xml:space="preserve">Amanda</w:t>
      </w:r>
      <w:r>
        <w:t xml:space="preserve"> </w:t>
      </w:r>
      <w:r>
        <w:t xml:space="preserve">Palazzo</w:t>
      </w:r>
      <w:r>
        <w:t xml:space="preserve"> </w:t>
      </w:r>
      <w:r>
        <w:t xml:space="preserve">and</w:t>
      </w:r>
      <w:r>
        <w:t xml:space="preserve"> </w:t>
      </w:r>
      <w:r>
        <w:t xml:space="preserve">Petr</w:t>
      </w:r>
      <w:r>
        <w:t xml:space="preserve"> </w:t>
      </w:r>
      <w:r>
        <w:t xml:space="preserve">Havlik</w:t>
      </w:r>
    </w:p>
    <w:p>
      <w:pPr>
        <w:pStyle w:val="Date"/>
      </w:pPr>
      <w:r>
        <w:t xml:space="preserve">April</w:t>
      </w:r>
      <w:r>
        <w:t xml:space="preserve"> </w:t>
      </w:r>
      <w:r>
        <w:t xml:space="preserve">27,</w:t>
      </w:r>
      <w:r>
        <w:t xml:space="preserve"> </w:t>
      </w:r>
      <w:r>
        <w:t xml:space="preserve">2018</w:t>
      </w:r>
    </w:p>
    <w:p>
      <w:pPr>
        <w:pStyle w:val="Heading1"/>
      </w:pPr>
      <w:bookmarkStart w:id="21" w:name="executive-summaryabstract"/>
      <w:bookmarkEnd w:id="21"/>
      <w:r>
        <w:t xml:space="preserve">Executive summary/Abstract</w:t>
      </w:r>
    </w:p>
    <w:p>
      <w:pPr>
        <w:pStyle w:val="Heading1"/>
      </w:pPr>
      <w:bookmarkStart w:id="22" w:name="to-do"/>
      <w:bookmarkEnd w:id="22"/>
      <w:r>
        <w:t xml:space="preserve">TO DO</w:t>
      </w:r>
    </w:p>
    <w:p>
      <w:pPr>
        <w:pStyle w:val="Compact"/>
        <w:numPr>
          <w:numId w:val="1001"/>
          <w:ilvl w:val="0"/>
        </w:numPr>
      </w:pPr>
      <w:r>
        <w:t xml:space="preserve">add AEZ map and combine with simu =&gt; read from GLOBIOM data</w:t>
      </w:r>
    </w:p>
    <w:p>
      <w:pPr>
        <w:pStyle w:val="Compact"/>
        <w:numPr>
          <w:numId w:val="1001"/>
          <w:ilvl w:val="0"/>
        </w:numPr>
      </w:pPr>
      <w:r>
        <w:t xml:space="preserve">add rivers and lakes to maps</w:t>
      </w:r>
    </w:p>
    <w:p>
      <w:pPr>
        <w:pStyle w:val="Heading1"/>
      </w:pPr>
      <w:bookmarkStart w:id="23" w:name="introduction"/>
      <w:bookmarkEnd w:id="23"/>
      <w:r>
        <w:t xml:space="preserve">Introduction</w:t>
      </w:r>
    </w:p>
    <w:p>
      <w:pPr>
        <w:pStyle w:val="FirstParagraph"/>
      </w:pPr>
      <w:r>
        <w:t xml:space="preserve">The government of Zambia has highlighted the linkages and interdependencies between climate change and agricultural development in most recent development and policy plans. As the the majority of people are living in rural areas and land use change contribute the largest part to greenhouse gas emissions, is essential to develop an effective and coherent approach to deal with the impact of climate change on the agricultural production and vice versa.</w:t>
      </w:r>
    </w:p>
    <w:p>
      <w:pPr>
        <w:pStyle w:val="BodyText"/>
      </w:pPr>
      <w:r>
        <w:t xml:space="preserve">At present the agriculture sector development strategies do not provide a coherent future roadmap to deal with climate risk. With support of the World Bank, the government of Zambia will draft the first Zambia Climate Smart Investment Plan (CSIP) that will inform a structured approach. The aim of this study is to contribute to the design of the CSIP by means of quantitative scenario modelling exercise using the GLOBIOM model developed by the International Institute for Applied Systems Analysis (IIASA). GLOBIOM is a spatially-explicit partial-equilibrium agricultural sector model that can assess future agricultural and land use change under climate change impacts. For this study the model will be modified and updated with country specific input information in order to better represent the agricultural sector in Zambia. The quantitative scenario analysis will help to identify and prioritise key policy interventions and investments to inform agricultural sector and climate change policy planning in Zambia for the the medium to long term.</w:t>
      </w:r>
    </w:p>
    <w:p>
      <w:pPr>
        <w:pStyle w:val="BodyText"/>
      </w:pPr>
      <w:r>
        <w:t xml:space="preserve">The GLOBIOM model will be modified and updated to simulate a selective number of scenarios that represent possible future agricultural pathways. The scenarios are designed to capture both uncertainties in the drivers of future agricultural development pathways (e.g. population growth, economic development, technical change and climate change) as well as a number of policy options (e.g. adoption of climate smart technologies and practices). Scenarios that will be modelled include a business as usual (BAU) scenario and 2-4 additional policy scenarios. In addition, we will construct normative scenario that describes a desired agricultural pathway. To address the substantial uncertainties related to climate change impact and socio-economic drivers, a sensitivity analysis will be conducted in which yield, GDP and population projections are set to plausible upper and lower boundaries.</w:t>
      </w:r>
    </w:p>
    <w:p>
      <w:pPr>
        <w:pStyle w:val="BodyText"/>
      </w:pPr>
      <w:r>
        <w:t xml:space="preserve">The formulation of the scenarios builds upon the ideas and views that were expressed by a wide group of stakeholders from various Ministries, NGOs, policy think tanks and international organisations that was held in Lusaka on October 16th and 17th, 2017. At the workshop, the main drivers of agricultural development and land use change were discussed and different policy options and strategies were proposed to address climate smart agriculture in Zambia. Stakeholders also prepared a vision statement for climate smart agriculture in 2050.The ouput of the stakeholder workshop as well as a selection of recent policy sector and planning documents are used to design the scenarios for the modelling, which are described below.</w:t>
      </w:r>
    </w:p>
    <w:p>
      <w:pPr>
        <w:pStyle w:val="Heading1"/>
      </w:pPr>
      <w:bookmarkStart w:id="24" w:name="background"/>
      <w:bookmarkEnd w:id="24"/>
      <w:r>
        <w:t xml:space="preserve">Background</w:t>
      </w:r>
    </w:p>
    <w:p>
      <w:pPr>
        <w:pStyle w:val="Compact"/>
        <w:numPr>
          <w:numId w:val="1002"/>
          <w:ilvl w:val="0"/>
        </w:numPr>
      </w:pPr>
      <w:r>
        <w:t xml:space="preserve">Review of Zambia CC modelling</w:t>
      </w:r>
    </w:p>
    <w:p>
      <w:pPr>
        <w:pStyle w:val="Compact"/>
        <w:numPr>
          <w:numId w:val="1002"/>
          <w:ilvl w:val="0"/>
        </w:numPr>
      </w:pPr>
      <w:r>
        <w:t xml:space="preserve">CC maps</w:t>
      </w:r>
    </w:p>
    <w:p>
      <w:pPr>
        <w:pStyle w:val="Heading1"/>
      </w:pPr>
      <w:bookmarkStart w:id="25" w:name="global-to-local-modelling-approach"/>
      <w:bookmarkEnd w:id="25"/>
      <w:r>
        <w:t xml:space="preserve">Global-to-local modelling approach</w:t>
      </w:r>
    </w:p>
    <w:p>
      <w:pPr>
        <w:pStyle w:val="FirstParagraph"/>
      </w:pPr>
      <w:r>
        <w:t xml:space="preserve">Drivers of agricultural development in Zambia include both local and global factors. At the local level, national policies (e.g. agricultural support and investment plans), population growth and economic growth are key drivers, while at the global level, climate change and international trade are important factors. it is the interplay and interaction between these two sets of drivers that eventually will determine the future development trajectory of agriculture in Zambia.</w:t>
      </w:r>
    </w:p>
    <w:p>
      <w:pPr>
        <w:pStyle w:val="BodyText"/>
      </w:pPr>
      <w:r>
        <w:t xml:space="preserve">In this paper we adopt a global-to-local modelling framework that is able to incorporate both the global and local drivers of national agricultural growth. To capture the high level of uncertainty related to the future development of these drivers, we apply an exploratory scenario framework</w:t>
      </w:r>
      <w:r>
        <w:t xml:space="preserve"> </w:t>
      </w:r>
      <w:r>
        <w:t xml:space="preserve">(</w:t>
      </w:r>
      <w:r>
        <w:rPr>
          <w:b/>
        </w:rPr>
        <w:t xml:space="preserve">???</w:t>
      </w:r>
      <w:r>
        <w:t xml:space="preserve">)</w:t>
      </w:r>
      <w:r>
        <w:t xml:space="preserve"> </w:t>
      </w:r>
      <w:r>
        <w:t xml:space="preserve">both takes into account the uncertainties associated with climate change (e.g. precipitation and temperature change that affect crop yield) and the possible trajectories of socio-economic drivers of agricultural growth (e.g. population growth, economic development and technical change). The methodology is similar to the one used in recent global impact assessments of climate change</w:t>
      </w:r>
      <w:r>
        <w:t xml:space="preserve"> </w:t>
      </w:r>
      <w:r>
        <w:t xml:space="preserve">(</w:t>
      </w:r>
      <w:r>
        <w:rPr>
          <w:b/>
        </w:rPr>
        <w:t xml:space="preserve">???</w:t>
      </w:r>
      <w:r>
        <w:t xml:space="preserve">)</w:t>
      </w:r>
      <w:r>
        <w:t xml:space="preserve">, in which a matrix approach is used that combines five possible and realistic socio-economic futures with four emissions pathways.</w:t>
      </w:r>
      <w:r>
        <w:t xml:space="preserve"> </w:t>
      </w:r>
      <w:r>
        <w:t xml:space="preserve">(</w:t>
      </w:r>
      <w:r>
        <w:rPr>
          <w:b/>
        </w:rPr>
        <w:t xml:space="preserve">???</w:t>
      </w:r>
      <w:r>
        <w:t xml:space="preserve"> </w:t>
      </w:r>
      <w:r>
        <w:t xml:space="preserve">ON WHAT WE WILL DO)</w:t>
      </w:r>
    </w:p>
    <w:p>
      <w:pPr>
        <w:pStyle w:val="BodyText"/>
      </w:pPr>
      <w:r>
        <w:t xml:space="preserve">The scenarios provide inputs for the Global Biosphere Management Model (GLOBIOM) model, which quantifies the impact of the global and national developments on the agricultural sector in Zambia (Figure 1). The remainder of this chapter describes GLOBIOM and the modifications we made to tailor if for the Zambia analysis. The next section presents the socio-economic and climate change scenarios that are use to calibrate the model and quantify future agricultural development pathways.</w:t>
      </w:r>
    </w:p>
    <w:p>
      <w:pPr>
        <w:pStyle w:val="BodyText"/>
      </w:pPr>
      <w:r>
        <w:rPr>
          <w:b/>
        </w:rPr>
        <w:t xml:space="preserve">Figure X: Modelling chain</w:t>
      </w:r>
      <w:r>
        <w:t xml:space="preserve"> </w:t>
      </w:r>
    </w:p>
    <w:p>
      <w:pPr>
        <w:pStyle w:val="Heading2"/>
      </w:pPr>
      <w:bookmarkStart w:id="26" w:name="the-globiom-model"/>
      <w:bookmarkEnd w:id="26"/>
      <w:r>
        <w:t xml:space="preserve">The GLOBIOM model</w:t>
      </w:r>
    </w:p>
    <w:p>
      <w:pPr>
        <w:pStyle w:val="FirstParagraph"/>
      </w:pPr>
      <w:r>
        <w:t xml:space="preserve">GLOBIOM</w:t>
      </w:r>
      <w:r>
        <w:t xml:space="preserve"> </w:t>
      </w:r>
      <w:r>
        <w:t xml:space="preserve">(Havlík et al. 2014)</w:t>
      </w:r>
      <w:r>
        <w:t xml:space="preserve"> </w:t>
      </w:r>
      <w:r>
        <w:t xml:space="preserve">is a spatially explicit partial equilibrium model of the global forest and agricultural sectors. It has been used extensively to analyse the medium and long run effects of climate change</w:t>
      </w:r>
      <w:r>
        <w:t xml:space="preserve"> </w:t>
      </w:r>
      <w:r>
        <w:t xml:space="preserve">(</w:t>
      </w:r>
      <w:r>
        <w:rPr>
          <w:b/>
        </w:rPr>
        <w:t xml:space="preserve">???</w:t>
      </w:r>
      <w:r>
        <w:t xml:space="preserve">)</w:t>
      </w:r>
      <w:r>
        <w:t xml:space="preserve">, deforestation</w:t>
      </w:r>
      <w:r>
        <w:t xml:space="preserve"> </w:t>
      </w:r>
      <w:r>
        <w:t xml:space="preserve">(</w:t>
      </w:r>
      <w:r>
        <w:rPr>
          <w:b/>
        </w:rPr>
        <w:t xml:space="preserve">???</w:t>
      </w:r>
      <w:r>
        <w:t xml:space="preserve">)</w:t>
      </w:r>
      <w:r>
        <w:t xml:space="preserve">, food security</w:t>
      </w:r>
      <w:r>
        <w:t xml:space="preserve"> </w:t>
      </w:r>
      <w:r>
        <w:t xml:space="preserve">(</w:t>
      </w:r>
      <w:r>
        <w:rPr>
          <w:b/>
        </w:rPr>
        <w:t xml:space="preserve">???</w:t>
      </w:r>
      <w:r>
        <w:t xml:space="preserve">)</w:t>
      </w:r>
      <w:r>
        <w:t xml:space="preserve"> </w:t>
      </w:r>
      <w:r>
        <w:t xml:space="preserve">and biofuel policies</w:t>
      </w:r>
      <w:r>
        <w:t xml:space="preserve"> </w:t>
      </w:r>
      <w:r>
        <w:t xml:space="preserve">(</w:t>
      </w:r>
      <w:r>
        <w:rPr>
          <w:b/>
        </w:rPr>
        <w:t xml:space="preserve">???</w:t>
      </w:r>
      <w:r>
        <w:t xml:space="preserve">)</w:t>
      </w:r>
      <w:r>
        <w:t xml:space="preserve"> </w:t>
      </w:r>
      <w:r>
        <w:t xml:space="preserve">at the global and regional level. The supply side of the model is based on a bottom-up approach (from land cover, land use, and management systems to production and markets). The agricultural and forest productivity is modeled at the level of grid cells of 5x5 to 30x30 arc-minutes, using biophysical models, such as EPIC</w:t>
      </w:r>
      <w:r>
        <w:t xml:space="preserve"> </w:t>
      </w:r>
      <w:r>
        <w:t xml:space="preserve">(</w:t>
      </w:r>
      <w:r>
        <w:rPr>
          <w:b/>
        </w:rPr>
        <w:t xml:space="preserve">???</w:t>
      </w:r>
      <w:r>
        <w:t xml:space="preserve">)</w:t>
      </w:r>
      <w:r>
        <w:t xml:space="preserve">. Demand is modelled at the regional level using</w:t>
      </w:r>
      <w:r>
        <w:t xml:space="preserve"> </w:t>
      </w:r>
      <w:r>
        <w:t xml:space="preserve">(</w:t>
      </w:r>
      <w:r>
        <w:rPr>
          <w:b/>
        </w:rPr>
        <w:t xml:space="preserve">???</w:t>
      </w:r>
      <w:r>
        <w:t xml:space="preserve">)</w:t>
      </w:r>
      <w:r>
        <w:t xml:space="preserve">. For this version the model is aggregated to X major regions (e.g.</w:t>
      </w:r>
      <w:r>
        <w:t xml:space="preserve"> </w:t>
      </w:r>
      <w:r>
        <w:t xml:space="preserve">(</w:t>
      </w:r>
      <w:r>
        <w:rPr>
          <w:b/>
        </w:rPr>
        <w:t xml:space="preserve">???</w:t>
      </w:r>
      <w:r>
        <w:t xml:space="preserve">)</w:t>
      </w:r>
      <w:r>
        <w:t xml:space="preserve">) and Zambia that together cover the whole world.</w:t>
      </w:r>
    </w:p>
    <w:p>
      <w:pPr>
        <w:pStyle w:val="BodyText"/>
      </w:pPr>
      <w:r>
        <w:t xml:space="preserve">The model computes market equilibrium for agricultural and forest products by allocating land use among production activities to maximize the sum of producer and consumer surplus, subject to resource, technological and policy constraints. The level of production in a given area is determined by the agricultural or forestry productivity in that area (dependent on suitability and management), by market prices (reflecting the level of demand), and by the conditions and cost associated to conversion of the land, to expansion of the production and, when relevant, to international market access. Trade flows are balanced out between different specific geographical regions. Trade is furthermore based purely on cost competitiveness as goods are assumed to be homogenous. This allows tracing of bilateral trade flows between individual regions. GLOBIOM use a recursive dynamic approach combined with exogenous trends on population and economic growth to create future projections for key indicators, such as crop and livestock production and prices, land use change, greenhouse gas emissions and calorie availability.</w:t>
      </w:r>
    </w:p>
    <w:p>
      <w:pPr>
        <w:pStyle w:val="BodyText"/>
      </w:pPr>
      <w:r>
        <w:t xml:space="preserve">By including not only the bioenergy sector but also forestry, cropland and grassland management, and livestock management, the model allows for a full account of all agriculture and forestry GHG sources. GLOBIOM accounts for ten sources of GHG emissions, including crop cultivation N2O emissions from fertilizer use, CH4 from rice cultivation, livestock CH4 emissions, CH4 and N2O emissions from manure management, N2O from manure applied on pasture, and above and below ground biomass CO2 emissions from biomass removal after converting forest and natural land to cropland.</w:t>
      </w:r>
    </w:p>
    <w:p>
      <w:pPr>
        <w:pStyle w:val="BodyText"/>
      </w:pPr>
      <w:r>
        <w:rPr>
          <w:b/>
        </w:rPr>
        <w:t xml:space="preserve">Figure 1: Overview of GLOBIOM</w:t>
      </w:r>
      <w:r>
        <w:t xml:space="preserve"> </w:t>
      </w:r>
      <w:r>
        <w:drawing>
          <wp:inline>
            <wp:extent cx="5969000" cy="4476750"/>
            <wp:effectExtent b="0" l="0" r="0" t="0"/>
            <wp:docPr descr="" title="" id="1" name="Picture"/>
            <a:graphic>
              <a:graphicData uri="http://schemas.openxmlformats.org/drawingml/2006/picture">
                <pic:pic>
                  <pic:nvPicPr>
                    <pic:cNvPr descr="C:\Users\vandijkm\Github\CSIP_ZMB\Fig_tab_map\external\globiom_framework.png" id="0" name="Picture"/>
                    <pic:cNvPicPr>
                      <a:picLocks noChangeArrowheads="1" noChangeAspect="1"/>
                    </pic:cNvPicPr>
                  </pic:nvPicPr>
                  <pic:blipFill>
                    <a:blip r:embed="rId27"/>
                    <a:stretch>
                      <a:fillRect/>
                    </a:stretch>
                  </pic:blipFill>
                  <pic:spPr bwMode="auto">
                    <a:xfrm>
                      <a:off x="0" y="0"/>
                      <a:ext cx="5969000" cy="4476750"/>
                    </a:xfrm>
                    <a:prstGeom prst="rect">
                      <a:avLst/>
                    </a:prstGeom>
                    <a:noFill/>
                    <a:ln w="9525">
                      <a:noFill/>
                      <a:headEnd/>
                      <a:tailEnd/>
                    </a:ln>
                  </pic:spPr>
                </pic:pic>
              </a:graphicData>
            </a:graphic>
          </wp:inline>
        </w:drawing>
      </w:r>
    </w:p>
    <w:p>
      <w:pPr>
        <w:pStyle w:val="Heading2"/>
      </w:pPr>
      <w:bookmarkStart w:id="28" w:name="zambia-adjustments"/>
      <w:bookmarkEnd w:id="28"/>
      <w:r>
        <w:t xml:space="preserve">Zambia adjustments</w:t>
      </w:r>
    </w:p>
    <w:p>
      <w:pPr>
        <w:pStyle w:val="FirstParagraph"/>
      </w:pPr>
      <w:r>
        <w:t xml:space="preserve">To make the model suitable for a Zambia analysis, country level information will be added to GLOBIOM, including country specific agricultural production statistics, land cover maps and, if available, data on irrigation, costs and livestock. The indicators which can be built based on this tool are: (a) projections for crop production, (b) livestock, (c) land use change, (d) prices, (e) trade, (f) greenhouse gas emissions, and (g) calorie availability. Where possible, indicators will be presented at different scales (i.e. grid, district and national). A GUI will be used to present and share the GLOBIOM results.</w:t>
      </w:r>
    </w:p>
    <w:p>
      <w:pPr>
        <w:pStyle w:val="Heading3"/>
      </w:pPr>
      <w:bookmarkStart w:id="29" w:name="land-use-in-base-year-key-crops"/>
      <w:bookmarkEnd w:id="29"/>
      <w:r>
        <w:t xml:space="preserve">Land use in base year: key crops</w:t>
      </w:r>
    </w:p>
    <w:p>
      <w:pPr>
        <w:pStyle w:val="Heading3"/>
      </w:pPr>
      <w:bookmarkStart w:id="30" w:name="agricultural-systems-in-base-year"/>
      <w:bookmarkEnd w:id="30"/>
      <w:r>
        <w:t xml:space="preserve">Agricultural systems in base year</w:t>
      </w:r>
    </w:p>
    <w:p>
      <w:pPr>
        <w:pStyle w:val="Heading1"/>
      </w:pPr>
      <w:bookmarkStart w:id="31" w:name="scenario-design"/>
      <w:bookmarkEnd w:id="31"/>
      <w:r>
        <w:t xml:space="preserve">Scenario design</w:t>
      </w:r>
    </w:p>
    <w:p>
      <w:pPr>
        <w:pStyle w:val="FirstParagraph"/>
      </w:pPr>
      <w:r>
        <w:rPr>
          <w:b/>
        </w:rPr>
        <w:t xml:space="preserve">Figure X: Scenario design</w:t>
      </w:r>
      <w:r>
        <w:t xml:space="preserve"> </w:t>
      </w:r>
      <w:r>
        <w:drawing>
          <wp:inline>
            <wp:extent cx="5969000" cy="3357562"/>
            <wp:effectExtent b="0" l="0" r="0" t="0"/>
            <wp:docPr descr="" title="" id="1" name="Picture"/>
            <a:graphic>
              <a:graphicData uri="http://schemas.openxmlformats.org/drawingml/2006/picture">
                <pic:pic>
                  <pic:nvPicPr>
                    <pic:cNvPr descr="C:\Users\vandijkm\Github\CSIP_ZMB\Fig_tab_map\external\scenario_framework.png" id="0" name="Picture"/>
                    <pic:cNvPicPr>
                      <a:picLocks noChangeArrowheads="1" noChangeAspect="1"/>
                    </pic:cNvPicPr>
                  </pic:nvPicPr>
                  <pic:blipFill>
                    <a:blip r:embed="rId32"/>
                    <a:stretch>
                      <a:fillRect/>
                    </a:stretch>
                  </pic:blipFill>
                  <pic:spPr bwMode="auto">
                    <a:xfrm>
                      <a:off x="0" y="0"/>
                      <a:ext cx="5969000" cy="3357562"/>
                    </a:xfrm>
                    <a:prstGeom prst="rect">
                      <a:avLst/>
                    </a:prstGeom>
                    <a:noFill/>
                    <a:ln w="9525">
                      <a:noFill/>
                      <a:headEnd/>
                      <a:tailEnd/>
                    </a:ln>
                  </pic:spPr>
                </pic:pic>
              </a:graphicData>
            </a:graphic>
          </wp:inline>
        </w:drawing>
      </w:r>
    </w:p>
    <w:p>
      <w:pPr>
        <w:pStyle w:val="Heading2"/>
      </w:pPr>
      <w:bookmarkStart w:id="33" w:name="business-as-usual-scenario"/>
      <w:bookmarkEnd w:id="33"/>
      <w:r>
        <w:t xml:space="preserve">Business As Usual scenario</w:t>
      </w:r>
    </w:p>
    <w:p>
      <w:pPr>
        <w:pStyle w:val="FirstParagraph"/>
      </w:pPr>
      <w:r>
        <w:t xml:space="preserve">The Business As Usual (BAU) scenario assumes that trends that are typical of recent decades will continue in the future. As such it presents the baseline to which other scenarios can be compared, for example to assess the impact of certain policies on agricultural growth. The BAU scenario describes the key drivers that shape future agricultural development. To model a business as usual (BAU) scenario for Zambia, we use the Shared Socio-economic Pathways (SSPs), which were developed as a backbone for climate change related assessments by a large consortium of researchers</w:t>
      </w:r>
      <w:r>
        <w:t xml:space="preserve"> </w:t>
      </w:r>
      <w:r>
        <w:t xml:space="preserve">(Kriegler et al. 2012; Vuuren et al. 2017; O’Neill et al. 2017)</w:t>
      </w:r>
      <w:r>
        <w:t xml:space="preserve">. The SSPs are a set of plausible and alternative assumptions that describe potential future socio-economic development in the absence of climate policies or climate change. They consist of two elements: a narrative storyline and a quantification of key drivers, mainly population growth and economic development. Projections have global coverage and are provided at country level, including Zambia. The SSPs can be combined with assumptions on climate outcomes, the so-called representative concentration pathways (RCPs), to derive a matrix that reflects an elaborate scenario framework to assess the impact of climate change and its mitigation under a variety of socio-economic conditions</w:t>
      </w:r>
      <w:r>
        <w:t xml:space="preserve"> </w:t>
      </w:r>
      <w:r>
        <w:t xml:space="preserve">(Vuuren et al. 2014)</w:t>
      </w:r>
      <w:r>
        <w:t xml:space="preserve">.</w:t>
      </w:r>
    </w:p>
    <w:p>
      <w:pPr>
        <w:pStyle w:val="BodyText"/>
      </w:pPr>
      <w:r>
        <w:t xml:space="preserve">For the Business as Usual scenario we adopt the projections for SSP2: Middle of the Road</w:t>
      </w:r>
      <w:r>
        <w:t xml:space="preserve"> </w:t>
      </w:r>
      <w:r>
        <w:t xml:space="preserve">(Fricko et al. 2017)</w:t>
      </w:r>
      <w:r>
        <w:t xml:space="preserve">. The narrative of SSP2 can be summarized as follows:</w:t>
      </w:r>
    </w:p>
    <w:p>
      <w:pPr>
        <w:pStyle w:val="BodyText"/>
      </w:pPr>
      <w:r>
        <w:rPr>
          <w:i/>
        </w:rPr>
        <w:t xml:space="preserve">“</w:t>
      </w:r>
      <w:r>
        <w:rPr>
          <w:i/>
        </w:rPr>
        <w:t xml:space="preserve">The world follows a path in which social, economic, and technological trends do not shift markedly from historical patterns. Development and income growth proceeds unevenly, with some countries making relatively good progress while others fall short of expectations. Most economies are politically stable. Globally connected markets function imperfectly. Global and national institutions work toward but make slow progress in achieving sustainable development goals, including improved living conditions and access to education, safe water, and health care. Technological development proceeds apace, but without fundamental breakthroughs. Environmental systems experience degradation, although there are some improvements and overall the intensity of resource and energy use declines. Even though fossil fuel dependency decreases slowly, there is no reluctance to use unconventional fossil resources. Global population growth is moderate and levels off in the second half of the century as a consequence of completion of the demographic transition. However, education investments are not high enough to accelerate the transition to low fertility rates in low-income countries and to rapidly slow population growth. This growth, along with income inequality that persists or improves only slowly, continuing societal stratification, and limited social cohesion, maintain challenges to reducing vulnerability to societal and environmental changes and constrain significant advances in sustainable development. These moderate development trends leave the world, on average, facing moderate challenges to mitigation and adaptation, but with significant heterogeneities across and within countries.</w:t>
      </w:r>
      <w:r>
        <w:rPr>
          <w:i/>
        </w:rPr>
        <w:t xml:space="preserve">”</w:t>
      </w:r>
      <w:r>
        <w:t xml:space="preserve"> </w:t>
      </w:r>
      <w:r>
        <w:t xml:space="preserve">(O’Neill et al. 2017)</w:t>
      </w:r>
      <w:r>
        <w:t xml:space="preserve">.</w:t>
      </w:r>
    </w:p>
    <w:p>
      <w:pPr>
        <w:pStyle w:val="BodyText"/>
      </w:pPr>
      <w:r>
        <w:t xml:space="preserve">Figure 1 depicts historical trends and projections for GDP and population in the BAU scenario as well as two alternative SSP scenarios to assess uncertainties in future trends (see below). The scenarios describe the period from present to 2050, which is the time horizon agreed upon with the stakeholders at the inception workshop..</w:t>
      </w:r>
      <w:r>
        <w:rPr>
          <w:rStyle w:val="FootnoteReference"/>
        </w:rPr>
        <w:footnoteReference w:id="34"/>
      </w:r>
      <w:r>
        <w:t xml:space="preserve"> </w:t>
      </w:r>
      <w:r>
        <w:t xml:space="preserve">Assumptions on GDP growth and population growth for the rest of the world are presented in Figure A1 in the Annex.</w:t>
      </w:r>
    </w:p>
    <w:p>
      <w:pPr>
        <w:pStyle w:val="BodyText"/>
      </w:pPr>
      <w:r>
        <w:rPr>
          <w:i/>
        </w:rPr>
        <w:t xml:space="preserve">Figure 1: GDP and Population projections for Zambia</w:t>
      </w:r>
    </w:p>
    <w:p>
      <w:pPr>
        <w:pStyle w:val="BodyText"/>
      </w:pPr>
      <w:r>
        <w:drawing>
          <wp:inline>
            <wp:extent cx="5969000" cy="3979333"/>
            <wp:effectExtent b="0" l="0" r="0" t="0"/>
            <wp:docPr descr="" title="" id="1" name="Picture"/>
            <a:graphic>
              <a:graphicData uri="http://schemas.openxmlformats.org/drawingml/2006/picture">
                <pic:pic>
                  <pic:nvPicPr>
                    <pic:cNvPr descr="C:/Users/vandijkm/Github/CSIP_ZMB/Fig_tab_map/generated/out-fig_pop_gdp-1.png" id="0" name="Picture"/>
                    <pic:cNvPicPr>
                      <a:picLocks noChangeArrowheads="1" noChangeAspect="1"/>
                    </pic:cNvPicPr>
                  </pic:nvPicPr>
                  <pic:blipFill>
                    <a:blip r:embed="rId35"/>
                    <a:stretch>
                      <a:fillRect/>
                    </a:stretch>
                  </pic:blipFill>
                  <pic:spPr bwMode="auto">
                    <a:xfrm>
                      <a:off x="0" y="0"/>
                      <a:ext cx="5969000" cy="3979333"/>
                    </a:xfrm>
                    <a:prstGeom prst="rect">
                      <a:avLst/>
                    </a:prstGeom>
                    <a:noFill/>
                    <a:ln w="9525">
                      <a:noFill/>
                      <a:headEnd/>
                      <a:tailEnd/>
                    </a:ln>
                  </pic:spPr>
                </pic:pic>
              </a:graphicData>
            </a:graphic>
          </wp:inline>
        </w:drawing>
      </w:r>
    </w:p>
    <w:p>
      <w:pPr>
        <w:pStyle w:val="BodyText"/>
      </w:pPr>
      <w:r>
        <w:t xml:space="preserve">The SSPs do not include projections for crop yields and livestock feed convergence efficiency, which are essential to model future agricultural productivity growth. We use yield projections from</w:t>
      </w:r>
      <w:r>
        <w:t xml:space="preserve"> </w:t>
      </w:r>
      <w:r>
        <w:t xml:space="preserve">M. Herrero et al. (2014)</w:t>
      </w:r>
      <w:r>
        <w:t xml:space="preserve"> </w:t>
      </w:r>
      <w:r>
        <w:t xml:space="preserve">and</w:t>
      </w:r>
      <w:r>
        <w:t xml:space="preserve"> </w:t>
      </w:r>
      <w:r>
        <w:t xml:space="preserve">Fricko et al. (2017)</w:t>
      </w:r>
      <w:r>
        <w:t xml:space="preserve"> </w:t>
      </w:r>
      <w:r>
        <w:t xml:space="preserve">that are estimated using the historical relationship between GDP growth and crop yield increase. We assume that these projections represent intrinsic productivity rates and reflect the increase in yield as a consequence of advances in knowledge and new technologies. They do not incorporate the yield shocks that occur as a consequence of climate change. In contrast to crop yield, there is much less information available on the past and future trajectories of livestock feed conversion efficiencies (the amount of feed required by per livestock category such as dairy, ruminant meat, pork and poultry) and how they will be influenced by climate change</w:t>
      </w:r>
      <w:r>
        <w:t xml:space="preserve"> </w:t>
      </w:r>
      <w:r>
        <w:t xml:space="preserve">(e.g. Bouwman et al. 2005; Wirsenius, Azar, and Berndes 2010)</w:t>
      </w:r>
      <w:r>
        <w:t xml:space="preserve">, Here, we use livestock feed conversion efficiencies from</w:t>
      </w:r>
      <w:r>
        <w:t xml:space="preserve"> </w:t>
      </w:r>
      <w:r>
        <w:t xml:space="preserve">M. Herrero et al. (2014)</w:t>
      </w:r>
      <w:r>
        <w:t xml:space="preserve"> </w:t>
      </w:r>
      <w:r>
        <w:t xml:space="preserve">and</w:t>
      </w:r>
      <w:r>
        <w:t xml:space="preserve"> </w:t>
      </w:r>
      <w:r>
        <w:t xml:space="preserve">Fricko et al. (2017)</w:t>
      </w:r>
      <w:r>
        <w:t xml:space="preserve">. Figure 2 presents past and future trends of key crops in Zambia. We also show the change in crop yield as a consequence of climate change impact (see below for details).</w:t>
      </w:r>
    </w:p>
    <w:p>
      <w:pPr>
        <w:pStyle w:val="BodyText"/>
      </w:pPr>
      <w:r>
        <w:rPr>
          <w:i/>
        </w:rPr>
        <w:t xml:space="preserve">Figure 2: Yield projections</w:t>
      </w:r>
    </w:p>
    <w:p>
      <w:pPr>
        <w:pStyle w:val="BodyText"/>
      </w:pPr>
      <w:r>
        <w:drawing>
          <wp:inline>
            <wp:extent cx="5969000" cy="3979333"/>
            <wp:effectExtent b="0" l="0" r="0" t="0"/>
            <wp:docPr descr="" title="" id="1" name="Picture"/>
            <a:graphic>
              <a:graphicData uri="http://schemas.openxmlformats.org/drawingml/2006/picture">
                <pic:pic>
                  <pic:nvPicPr>
                    <pic:cNvPr descr="C:/Users/vandijkm/Github/CSIP_ZMB/Fig_tab_map/generated/out-fig_reg_yld-1.png" id="0" name="Picture"/>
                    <pic:cNvPicPr>
                      <a:picLocks noChangeArrowheads="1" noChangeAspect="1"/>
                    </pic:cNvPicPr>
                  </pic:nvPicPr>
                  <pic:blipFill>
                    <a:blip r:embed="rId36"/>
                    <a:stretch>
                      <a:fillRect/>
                    </a:stretch>
                  </pic:blipFill>
                  <pic:spPr bwMode="auto">
                    <a:xfrm>
                      <a:off x="0" y="0"/>
                      <a:ext cx="5969000" cy="3979333"/>
                    </a:xfrm>
                    <a:prstGeom prst="rect">
                      <a:avLst/>
                    </a:prstGeom>
                    <a:noFill/>
                    <a:ln w="9525">
                      <a:noFill/>
                      <a:headEnd/>
                      <a:tailEnd/>
                    </a:ln>
                  </pic:spPr>
                </pic:pic>
              </a:graphicData>
            </a:graphic>
          </wp:inline>
        </w:drawing>
      </w:r>
    </w:p>
    <w:p>
      <w:pPr>
        <w:pStyle w:val="BodyText"/>
      </w:pPr>
      <w:r>
        <w:t xml:space="preserve">Finally, to model the BAU scenario, we also make assumptions on area of protected land, change in diets, food loss and waste, and trade at the global level. Table A2 in the Annex, presents details on these global scenario assumptions and how they are modelled in GLOBIOM.</w:t>
      </w:r>
    </w:p>
    <w:p>
      <w:pPr>
        <w:pStyle w:val="Heading2"/>
      </w:pPr>
      <w:bookmarkStart w:id="37" w:name="vision-for-the-future-of-agriculture-in-zambia"/>
      <w:bookmarkEnd w:id="37"/>
      <w:r>
        <w:t xml:space="preserve">Vision for the future of agriculture in Zambia</w:t>
      </w:r>
    </w:p>
    <w:p>
      <w:pPr>
        <w:pStyle w:val="FirstParagraph"/>
      </w:pPr>
      <w:r>
        <w:t xml:space="preserve">The normative scenario represents desirable future agricultural sector. The scenario is based on the input that was provided at a stakeholder workshop as well as several national and agricultural planning reports that have been published over the last decade by the Zambian government. The scenario will be used as a benchmark to assess to extent to which the implementation of various policy options, will bring the agricultural sector closer to the desired state. Table 1 presents key indicators for the normative scenario as well as the source of information. planning documents only provide normative target values for the short or medium term period (e.g. coming 5 years). For the analysis these values need to be projected forward to the year 2050. Due to the qualitative nature of certain statements (e.g.</w:t>
      </w:r>
      <w:r>
        <w:t xml:space="preserve"> </w:t>
      </w:r>
      <w:r>
        <w:t xml:space="preserve">“</w:t>
      </w:r>
      <w:r>
        <w:t xml:space="preserve">diversified agricultural economic sector</w:t>
      </w:r>
      <w:r>
        <w:t xml:space="preserve">”</w:t>
      </w:r>
      <w:r>
        <w:t xml:space="preserve">) as well as the limitations of GLOBIOM, it has not been possible to quantify all variables. It is expected that with input from stakeholders we can add more indicators to the scenario. Similarly, in most cases, the approach to project the historical trend forward is based on a simple multiplication factor that extrapolates the short to medium term projections for which we have information. The underlying assumptions should be validated, and where possible, updated in collaboration with stakeholders. Figure 3-5 present the historical trend and normative target values for selected indicators.</w:t>
      </w:r>
    </w:p>
    <w:p>
      <w:pPr>
        <w:pStyle w:val="BodyText"/>
      </w:pPr>
      <w:r>
        <w:rPr>
          <w:i/>
        </w:rPr>
        <w:t xml:space="preserve">Figure 3: Normative scenario yield projections</w:t>
      </w:r>
    </w:p>
    <w:p>
      <w:pPr>
        <w:pStyle w:val="BodyText"/>
      </w:pPr>
      <w:r>
        <w:drawing>
          <wp:inline>
            <wp:extent cx="5969000" cy="4476750"/>
            <wp:effectExtent b="0" l="0" r="0" t="0"/>
            <wp:docPr descr="" title="" id="1" name="Picture"/>
            <a:graphic>
              <a:graphicData uri="http://schemas.openxmlformats.org/drawingml/2006/picture">
                <pic:pic>
                  <pic:nvPicPr>
                    <pic:cNvPr descr="C:/Users/vandijkm/Github/CSIP_ZMB/Fig_tab_map/generated/out-fig_yld_ns-1.png" id="0" name="Picture"/>
                    <pic:cNvPicPr>
                      <a:picLocks noChangeArrowheads="1" noChangeAspect="1"/>
                    </pic:cNvPicPr>
                  </pic:nvPicPr>
                  <pic:blipFill>
                    <a:blip r:embed="rId38"/>
                    <a:stretch>
                      <a:fillRect/>
                    </a:stretch>
                  </pic:blipFill>
                  <pic:spPr bwMode="auto">
                    <a:xfrm>
                      <a:off x="0" y="0"/>
                      <a:ext cx="5969000" cy="4476750"/>
                    </a:xfrm>
                    <a:prstGeom prst="rect">
                      <a:avLst/>
                    </a:prstGeom>
                    <a:noFill/>
                    <a:ln w="9525">
                      <a:noFill/>
                      <a:headEnd/>
                      <a:tailEnd/>
                    </a:ln>
                  </pic:spPr>
                </pic:pic>
              </a:graphicData>
            </a:graphic>
          </wp:inline>
        </w:drawing>
      </w:r>
    </w:p>
    <w:p>
      <w:pPr>
        <w:pStyle w:val="BodyText"/>
      </w:pPr>
      <w:r>
        <w:t xml:space="preserve">Source: FAOSTAT and table 2.</w:t>
      </w:r>
    </w:p>
    <w:p>
      <w:pPr>
        <w:pStyle w:val="BodyText"/>
      </w:pPr>
      <w:r>
        <w:rPr>
          <w:i/>
        </w:rPr>
        <w:t xml:space="preserve">Figure 4: Normative scenario irrigation projections</w:t>
      </w:r>
    </w:p>
    <w:p>
      <w:pPr>
        <w:pStyle w:val="BodyText"/>
      </w:pPr>
      <w:r>
        <w:drawing>
          <wp:inline>
            <wp:extent cx="5969000" cy="3979333"/>
            <wp:effectExtent b="0" l="0" r="0" t="0"/>
            <wp:docPr descr="" title="" id="1" name="Picture"/>
            <a:graphic>
              <a:graphicData uri="http://schemas.openxmlformats.org/drawingml/2006/picture">
                <pic:pic>
                  <pic:nvPicPr>
                    <pic:cNvPr descr="C:/Users/vandijkm/Github/CSIP_ZMB/Fig_tab_map/generated/out-fig_ir_ns-1.png" id="0" name="Picture"/>
                    <pic:cNvPicPr>
                      <a:picLocks noChangeArrowheads="1" noChangeAspect="1"/>
                    </pic:cNvPicPr>
                  </pic:nvPicPr>
                  <pic:blipFill>
                    <a:blip r:embed="rId39"/>
                    <a:stretch>
                      <a:fillRect/>
                    </a:stretch>
                  </pic:blipFill>
                  <pic:spPr bwMode="auto">
                    <a:xfrm>
                      <a:off x="0" y="0"/>
                      <a:ext cx="5969000" cy="3979333"/>
                    </a:xfrm>
                    <a:prstGeom prst="rect">
                      <a:avLst/>
                    </a:prstGeom>
                    <a:noFill/>
                    <a:ln w="9525">
                      <a:noFill/>
                      <a:headEnd/>
                      <a:tailEnd/>
                    </a:ln>
                  </pic:spPr>
                </pic:pic>
              </a:graphicData>
            </a:graphic>
          </wp:inline>
        </w:drawing>
      </w:r>
    </w:p>
    <w:p>
      <w:pPr>
        <w:pStyle w:val="BodyText"/>
      </w:pPr>
      <w:r>
        <w:t xml:space="preserve">Source: AQUASTAT and table 2.</w:t>
      </w:r>
      <w:r>
        <w:t xml:space="preserve"> </w:t>
      </w:r>
      <w:r>
        <w:t xml:space="preserve">Note: Full control irrigation is the sum of (i) surface irrigation, (ii) sprinkler irrigation and (iii) localized irrigation. Lowland irrigation includes (i) cultivated wetland and inland valley bottoms that have been equipped with water control structures for irrigation and drainage; (ii) areas along rivers where cultivation occurs making use of structures built to retain receding flood water; (iii) developed mangroves and equipped delta areas; (iv) Spate irrigation, an irrigation practice that uses the floodwaters of ephemeral streams (wadi) and channels it through short steep canals to bunded basins where cropping takes place.</w:t>
      </w:r>
    </w:p>
    <w:p>
      <w:pPr>
        <w:pStyle w:val="BodyText"/>
      </w:pPr>
      <w:r>
        <w:rPr>
          <w:i/>
        </w:rPr>
        <w:t xml:space="preserve">Figure 5: Normative scenario crops export projections</w:t>
      </w:r>
    </w:p>
    <w:p>
      <w:pPr>
        <w:pStyle w:val="BodyText"/>
      </w:pPr>
      <w:r>
        <w:drawing>
          <wp:inline>
            <wp:extent cx="5969000" cy="3979333"/>
            <wp:effectExtent b="0" l="0" r="0" t="0"/>
            <wp:docPr descr="" title="" id="1" name="Picture"/>
            <a:graphic>
              <a:graphicData uri="http://schemas.openxmlformats.org/drawingml/2006/picture">
                <pic:pic>
                  <pic:nvPicPr>
                    <pic:cNvPr descr="C:/Users/vandijkm/Github/CSIP_ZMB/Fig_tab_map/generated/out-fig_expo_ns-1.png" id="0" name="Picture"/>
                    <pic:cNvPicPr>
                      <a:picLocks noChangeArrowheads="1" noChangeAspect="1"/>
                    </pic:cNvPicPr>
                  </pic:nvPicPr>
                  <pic:blipFill>
                    <a:blip r:embed="rId40"/>
                    <a:stretch>
                      <a:fillRect/>
                    </a:stretch>
                  </pic:blipFill>
                  <pic:spPr bwMode="auto">
                    <a:xfrm>
                      <a:off x="0" y="0"/>
                      <a:ext cx="5969000" cy="3979333"/>
                    </a:xfrm>
                    <a:prstGeom prst="rect">
                      <a:avLst/>
                    </a:prstGeom>
                    <a:noFill/>
                    <a:ln w="9525">
                      <a:noFill/>
                      <a:headEnd/>
                      <a:tailEnd/>
                    </a:ln>
                  </pic:spPr>
                </pic:pic>
              </a:graphicData>
            </a:graphic>
          </wp:inline>
        </w:drawing>
      </w:r>
    </w:p>
    <w:p>
      <w:pPr>
        <w:pStyle w:val="BodyText"/>
      </w:pPr>
      <w:r>
        <w:t xml:space="preserve">Source: FAOSTAT and table 2.</w:t>
      </w:r>
    </w:p>
    <w:p>
      <w:pPr>
        <w:pStyle w:val="BodyText"/>
      </w:pPr>
      <w:r>
        <w:rPr>
          <w:i/>
        </w:rPr>
        <w:t xml:space="preserve">Figure 6: Normative scenario Agricultural area projections</w:t>
      </w:r>
    </w:p>
    <w:p>
      <w:pPr>
        <w:pStyle w:val="BodyText"/>
      </w:pPr>
      <w:r>
        <w:drawing>
          <wp:inline>
            <wp:extent cx="5969000" cy="3979333"/>
            <wp:effectExtent b="0" l="0" r="0" t="0"/>
            <wp:docPr descr="" title="" id="1" name="Picture"/>
            <a:graphic>
              <a:graphicData uri="http://schemas.openxmlformats.org/drawingml/2006/picture">
                <pic:pic>
                  <pic:nvPicPr>
                    <pic:cNvPr descr="C:/Users/vandijkm/Github/CSIP_ZMB/Fig_tab_map/generated/out-fig_land_ns-1.png" id="0" name="Picture"/>
                    <pic:cNvPicPr>
                      <a:picLocks noChangeArrowheads="1" noChangeAspect="1"/>
                    </pic:cNvPicPr>
                  </pic:nvPicPr>
                  <pic:blipFill>
                    <a:blip r:embed="rId41"/>
                    <a:stretch>
                      <a:fillRect/>
                    </a:stretch>
                  </pic:blipFill>
                  <pic:spPr bwMode="auto">
                    <a:xfrm>
                      <a:off x="0" y="0"/>
                      <a:ext cx="5969000" cy="3979333"/>
                    </a:xfrm>
                    <a:prstGeom prst="rect">
                      <a:avLst/>
                    </a:prstGeom>
                    <a:noFill/>
                    <a:ln w="9525">
                      <a:noFill/>
                      <a:headEnd/>
                      <a:tailEnd/>
                    </a:ln>
                  </pic:spPr>
                </pic:pic>
              </a:graphicData>
            </a:graphic>
          </wp:inline>
        </w:drawing>
      </w:r>
    </w:p>
    <w:p>
      <w:pPr>
        <w:pStyle w:val="BodyText"/>
      </w:pPr>
      <w:r>
        <w:t xml:space="preserve">Source: FAOSTAT</w:t>
      </w:r>
    </w:p>
    <w:p>
      <w:pPr>
        <w:pStyle w:val="BodyText"/>
      </w:pPr>
      <w:r>
        <w:rPr>
          <w:i/>
        </w:rPr>
        <w:t xml:space="preserve">Figure 7: Normative scenario GHG emissions projections</w:t>
      </w:r>
    </w:p>
    <w:p>
      <w:pPr>
        <w:pStyle w:val="BodyText"/>
      </w:pPr>
      <w:r>
        <w:drawing>
          <wp:inline>
            <wp:extent cx="5969000" cy="3979333"/>
            <wp:effectExtent b="0" l="0" r="0" t="0"/>
            <wp:docPr descr="" title="" id="1" name="Picture"/>
            <a:graphic>
              <a:graphicData uri="http://schemas.openxmlformats.org/drawingml/2006/picture">
                <pic:pic>
                  <pic:nvPicPr>
                    <pic:cNvPr descr="C:/Users/vandijkm/Github/CSIP_ZMB/Fig_tab_map/generated/out-fig_emis_ns-1.png" id="0" name="Picture"/>
                    <pic:cNvPicPr>
                      <a:picLocks noChangeArrowheads="1" noChangeAspect="1"/>
                    </pic:cNvPicPr>
                  </pic:nvPicPr>
                  <pic:blipFill>
                    <a:blip r:embed="rId42"/>
                    <a:stretch>
                      <a:fillRect/>
                    </a:stretch>
                  </pic:blipFill>
                  <pic:spPr bwMode="auto">
                    <a:xfrm>
                      <a:off x="0" y="0"/>
                      <a:ext cx="5969000" cy="3979333"/>
                    </a:xfrm>
                    <a:prstGeom prst="rect">
                      <a:avLst/>
                    </a:prstGeom>
                    <a:noFill/>
                    <a:ln w="9525">
                      <a:noFill/>
                      <a:headEnd/>
                      <a:tailEnd/>
                    </a:ln>
                  </pic:spPr>
                </pic:pic>
              </a:graphicData>
            </a:graphic>
          </wp:inline>
        </w:drawing>
      </w:r>
      <w:r>
        <w:t xml:space="preserve"> </w:t>
      </w:r>
      <w:r>
        <w:t xml:space="preserve">Source: Zambia INDC, Zambia National Communication 2.</w:t>
      </w:r>
      <w:r>
        <w:t xml:space="preserve"> </w:t>
      </w:r>
      <w:r>
        <w:t xml:space="preserve">Note: Reported values scaled to FAOSTAT historical emissions and projected to 2050.</w:t>
      </w:r>
    </w:p>
    <w:p>
      <w:pPr>
        <w:pStyle w:val="BodyText"/>
      </w:pPr>
      <w:r>
        <w:rPr>
          <w:i/>
        </w:rPr>
        <w:t xml:space="preserve">Figure 8: Normative scenario livestock projections</w:t>
      </w:r>
    </w:p>
    <w:p>
      <w:pPr>
        <w:pStyle w:val="BodyText"/>
      </w:pPr>
      <w:r>
        <w:drawing>
          <wp:inline>
            <wp:extent cx="5969000" cy="3979333"/>
            <wp:effectExtent b="0" l="0" r="0" t="0"/>
            <wp:docPr descr="" title="" id="1" name="Picture"/>
            <a:graphic>
              <a:graphicData uri="http://schemas.openxmlformats.org/drawingml/2006/picture">
                <pic:pic>
                  <pic:nvPicPr>
                    <pic:cNvPr descr="C:/Users/vandijkm/Github/CSIP_ZMB/Fig_tab_map/generated/out-fig_lvst_ns-1.png" id="0" name="Picture"/>
                    <pic:cNvPicPr>
                      <a:picLocks noChangeArrowheads="1" noChangeAspect="1"/>
                    </pic:cNvPicPr>
                  </pic:nvPicPr>
                  <pic:blipFill>
                    <a:blip r:embed="rId43"/>
                    <a:stretch>
                      <a:fillRect/>
                    </a:stretch>
                  </pic:blipFill>
                  <pic:spPr bwMode="auto">
                    <a:xfrm>
                      <a:off x="0" y="0"/>
                      <a:ext cx="5969000" cy="3979333"/>
                    </a:xfrm>
                    <a:prstGeom prst="rect">
                      <a:avLst/>
                    </a:prstGeom>
                    <a:noFill/>
                    <a:ln w="9525">
                      <a:noFill/>
                      <a:headEnd/>
                      <a:tailEnd/>
                    </a:ln>
                  </pic:spPr>
                </pic:pic>
              </a:graphicData>
            </a:graphic>
          </wp:inline>
        </w:drawing>
      </w:r>
    </w:p>
    <w:p>
      <w:pPr>
        <w:pStyle w:val="BodyText"/>
      </w:pPr>
      <w:r>
        <w:t xml:space="preserve">Source: FAOSTAT.</w:t>
      </w:r>
      <w:r>
        <w:t xml:space="preserve"> </w:t>
      </w:r>
      <w:r>
        <w:t xml:space="preserve">Note: Livestock includes head of cattle only.</w:t>
      </w:r>
    </w:p>
    <w:p>
      <w:pPr>
        <w:pStyle w:val="BodyText"/>
      </w:pPr>
      <w:r>
        <w:rPr>
          <w:i/>
        </w:rPr>
        <w:t xml:space="preserve">Figure 9: Normative scenario crop diversity</w:t>
      </w:r>
    </w:p>
    <w:p>
      <w:pPr>
        <w:pStyle w:val="BodyText"/>
      </w:pPr>
      <w:r>
        <w:drawing>
          <wp:inline>
            <wp:extent cx="5969000" cy="4476750"/>
            <wp:effectExtent b="0" l="0" r="0" t="0"/>
            <wp:docPr descr="" title="" id="1" name="Picture"/>
            <a:graphic>
              <a:graphicData uri="http://schemas.openxmlformats.org/drawingml/2006/picture">
                <pic:pic>
                  <pic:nvPicPr>
                    <pic:cNvPr descr="C:/Users/vandijkm/Github/CSIP_ZMB/Fig_tab_map/generated/out-fig_div_ns-1.png" id="0" name="Picture"/>
                    <pic:cNvPicPr>
                      <a:picLocks noChangeArrowheads="1" noChangeAspect="1"/>
                    </pic:cNvPicPr>
                  </pic:nvPicPr>
                  <pic:blipFill>
                    <a:blip r:embed="rId44"/>
                    <a:stretch>
                      <a:fillRect/>
                    </a:stretch>
                  </pic:blipFill>
                  <pic:spPr bwMode="auto">
                    <a:xfrm>
                      <a:off x="0" y="0"/>
                      <a:ext cx="5969000" cy="4476750"/>
                    </a:xfrm>
                    <a:prstGeom prst="rect">
                      <a:avLst/>
                    </a:prstGeom>
                    <a:noFill/>
                    <a:ln w="9525">
                      <a:noFill/>
                      <a:headEnd/>
                      <a:tailEnd/>
                    </a:ln>
                  </pic:spPr>
                </pic:pic>
              </a:graphicData>
            </a:graphic>
          </wp:inline>
        </w:drawing>
      </w:r>
    </w:p>
    <w:p>
      <w:pPr>
        <w:pStyle w:val="BodyText"/>
      </w:pPr>
      <w:r>
        <w:t xml:space="preserve">Source: FAOSTAT.</w:t>
      </w:r>
    </w:p>
    <w:p>
      <w:pPr>
        <w:pStyle w:val="Heading2"/>
      </w:pPr>
      <w:bookmarkStart w:id="45" w:name="what-if-technology-scenarios"/>
      <w:bookmarkEnd w:id="45"/>
      <w:r>
        <w:t xml:space="preserve">What if technology scenarios</w:t>
      </w:r>
    </w:p>
    <w:p>
      <w:pPr>
        <w:pStyle w:val="FirstParagraph"/>
      </w:pPr>
      <w:r>
        <w:t xml:space="preserve">At the stakeholder workshop, several climate smart agricultural strategies were discussed and ranked by the participants. The strategies covered a large number of areas. The highest ranked was</w:t>
      </w:r>
      <w:r>
        <w:t xml:space="preserve"> </w:t>
      </w:r>
      <w:r>
        <w:t xml:space="preserve">“</w:t>
      </w:r>
      <w:r>
        <w:t xml:space="preserve">crop &amp; livestock varieties</w:t>
      </w:r>
      <w:r>
        <w:t xml:space="preserve">”</w:t>
      </w:r>
      <w:r>
        <w:t xml:space="preserve">. Table 2 presents a selection of the strategies and policy options that will be included in the scenario analysis and the goal as specified by the stakeholders. It also presents information on how we aim to model the policies in GLOBIOM. Some proposed policy options cannot be included in the analysis because they refer to markets are elements of the agricultural sector that are not modelled by GLOBIOM, e.g.</w:t>
      </w:r>
      <w:r>
        <w:t xml:space="preserve"> </w:t>
      </w:r>
      <w:r>
        <w:t xml:space="preserve">“</w:t>
      </w:r>
      <w:r>
        <w:t xml:space="preserve">At least 60% of men, women and youth involved in agriculture belong to functioning savings groups</w:t>
      </w:r>
      <w:r>
        <w:t xml:space="preserve">”</w:t>
      </w:r>
      <w:r>
        <w:t xml:space="preserve">.</w:t>
      </w:r>
    </w:p>
    <w:p>
      <w:pPr>
        <w:pStyle w:val="BodyText"/>
      </w:pPr>
      <w:r>
        <w:t xml:space="preserve">In the next step, the policy scenarios will be made specific and further developed. Literature research will be undertaken to model the changes in inputs (e.g. water and nutrient demand) as well as the expected yield increase that potentially can be realized when farmers adopt climate smart agricultural practices. Also additional information will be collected on farmers’ input costs in Zambia to improve the policy modelling.</w:t>
      </w:r>
    </w:p>
    <w:p>
      <w:pPr>
        <w:pStyle w:val="Heading2"/>
      </w:pPr>
      <w:bookmarkStart w:id="46" w:name="sensitivity-analysis"/>
      <w:bookmarkEnd w:id="46"/>
      <w:r>
        <w:t xml:space="preserve">Sensitivity analysis</w:t>
      </w:r>
    </w:p>
    <w:p>
      <w:pPr>
        <w:pStyle w:val="FirstParagraph"/>
      </w:pPr>
      <w:r>
        <w:t xml:space="preserve">At the stakeholder workshop three clusteres of drivers of uncertainty were identified:</w:t>
      </w:r>
    </w:p>
    <w:p>
      <w:pPr>
        <w:pStyle w:val="Compact"/>
        <w:numPr>
          <w:numId w:val="1003"/>
          <w:ilvl w:val="0"/>
        </w:numPr>
      </w:pPr>
      <w:r>
        <w:t xml:space="preserve">Climate change (e.g. rainfall, temperature and, pests and diseases)</w:t>
      </w:r>
    </w:p>
    <w:p>
      <w:pPr>
        <w:pStyle w:val="Compact"/>
        <w:numPr>
          <w:numId w:val="1003"/>
          <w:ilvl w:val="0"/>
        </w:numPr>
      </w:pPr>
      <w:r>
        <w:t xml:space="preserve">Regional and international markets (e.g. global markets, external political stability and availability of external funds)</w:t>
      </w:r>
    </w:p>
    <w:p>
      <w:pPr>
        <w:pStyle w:val="Compact"/>
        <w:numPr>
          <w:numId w:val="1003"/>
          <w:ilvl w:val="0"/>
        </w:numPr>
      </w:pPr>
      <w:r>
        <w:t xml:space="preserve">Domestic development (e.g. internal political stability and changing dietary patterns)</w:t>
      </w:r>
    </w:p>
    <w:p>
      <w:pPr>
        <w:pStyle w:val="FirstParagraph"/>
      </w:pPr>
      <w:r>
        <w:t xml:space="preserve">This section presents the sensitivity analysis that is proposed to take into account these uncertainties on the projections.</w:t>
      </w:r>
    </w:p>
    <w:p>
      <w:pPr>
        <w:pStyle w:val="Heading3"/>
      </w:pPr>
      <w:bookmarkStart w:id="47" w:name="climate-change-uncertainty"/>
      <w:bookmarkEnd w:id="47"/>
      <w:r>
        <w:t xml:space="preserve">Climate change uncertainty</w:t>
      </w:r>
    </w:p>
    <w:p>
      <w:pPr>
        <w:pStyle w:val="FirstParagraph"/>
      </w:pPr>
      <w:r>
        <w:t xml:space="preserve">We will conduct a sensitivity analysis to account for the high level of uncertainty associated with in the impact of climate change (including rainfall and temperature change but excluding pests and diseases) on crop yields. We combine the outputs from five general circulation models (GCMs): HadGEM2-ES, IPSL-CM5, GFDL-ESM2M, MIROC-ESM with the EPIC crop model to obtain a bandwidth for changes in yield as a consequence of climate change. All GCMs assume RCP8.5, which is the most extreme emissions scenario developed for the IPCC’s Fifth Assessment Report</w:t>
      </w:r>
      <w:r>
        <w:t xml:space="preserve"> </w:t>
      </w:r>
      <w:r>
        <w:t xml:space="preserve">(Riahi et al. 2011)</w:t>
      </w:r>
      <w:r>
        <w:t xml:space="preserve">. The crop models provide global projections for the impact of climate change on crop yield both with and without the CO2 fertilization effect.</w:t>
      </w:r>
    </w:p>
    <w:p>
      <w:pPr>
        <w:pStyle w:val="BodyText"/>
      </w:pPr>
      <w:r>
        <w:t xml:space="preserve">Figure 3 shows the range of crop yield change by 2050 in Zambia for a number of selected crops as a consequence of climate change. For cattle and other animal products, we decided to use the BAU scenario projections for all four climate change scenarios because the livestock yield is unlikely to be affected much by climate change.</w:t>
      </w:r>
    </w:p>
    <w:p>
      <w:pPr>
        <w:pStyle w:val="BodyText"/>
      </w:pPr>
      <w:r>
        <w:rPr>
          <w:i/>
        </w:rPr>
        <w:t xml:space="preserve">Figure 6: Crop yield change due to climate change by 2050 (%): Selected crops</w:t>
      </w:r>
    </w:p>
    <w:p>
      <w:pPr>
        <w:pStyle w:val="Heading3"/>
      </w:pPr>
      <w:bookmarkStart w:id="48" w:name="socio-economic-uncertainty"/>
      <w:bookmarkEnd w:id="48"/>
      <w:r>
        <w:t xml:space="preserve">Socio-economic uncertainty</w:t>
      </w:r>
    </w:p>
    <w:p>
      <w:pPr>
        <w:pStyle w:val="FirstParagraph"/>
      </w:pPr>
      <w:r>
        <w:t xml:space="preserve">To investigate the uncertainties in the socio-economic projections, we will model and compare the results of two additional but SSP scenarios. SSP1: Sustainability—Taking the green road and SSP3: Regional rivalry—A rocky road, which represent two opposing types of scenarios.</w:t>
      </w:r>
      <w:r>
        <w:t xml:space="preserve"> </w:t>
      </w:r>
      <w:r>
        <w:rPr>
          <w:i/>
        </w:rPr>
        <w:t xml:space="preserve">“</w:t>
      </w:r>
      <w:r>
        <w:rPr>
          <w:i/>
        </w:rPr>
        <w:t xml:space="preserve">SSP1 with its central features of commitment to achieving development goals, increasing environmental awareness in societies around the world, and a gradual move toward less resource-intensive lifestyles, constitutes a break with recent history in which emerging economies have followed the resource-intensive development model of industrialized countries. To some extent, elements of this scenario can already be found in the proliferation of</w:t>
      </w:r>
      <w:r>
        <w:rPr>
          <w:i/>
        </w:rPr>
        <w:t xml:space="preserve"> </w:t>
      </w:r>
      <w:r>
        <w:rPr>
          <w:i/>
        </w:rPr>
        <w:t xml:space="preserve">“</w:t>
      </w:r>
      <w:r>
        <w:rPr>
          <w:i/>
        </w:rPr>
        <w:t xml:space="preserve">green growth</w:t>
      </w:r>
      <w:r>
        <w:rPr>
          <w:i/>
        </w:rPr>
        <w:t xml:space="preserve">”</w:t>
      </w:r>
      <w:r>
        <w:rPr>
          <w:i/>
        </w:rPr>
        <w:t xml:space="preserve"> </w:t>
      </w:r>
      <w:r>
        <w:rPr>
          <w:i/>
        </w:rPr>
        <w:t xml:space="preserve">and</w:t>
      </w:r>
      <w:r>
        <w:rPr>
          <w:i/>
        </w:rPr>
        <w:t xml:space="preserve"> </w:t>
      </w:r>
      <w:r>
        <w:rPr>
          <w:i/>
        </w:rPr>
        <w:t xml:space="preserve">“</w:t>
      </w:r>
      <w:r>
        <w:rPr>
          <w:i/>
        </w:rPr>
        <w:t xml:space="preserve">green economy</w:t>
      </w:r>
      <w:r>
        <w:rPr>
          <w:i/>
        </w:rPr>
        <w:t xml:space="preserve">”</w:t>
      </w:r>
      <w:r>
        <w:rPr>
          <w:i/>
        </w:rPr>
        <w:t xml:space="preserve"> </w:t>
      </w:r>
      <w:r>
        <w:rPr>
          <w:i/>
        </w:rPr>
        <w:t xml:space="preserve">strategies in industrialized and developing countries</w:t>
      </w:r>
      <w:r>
        <w:rPr>
          <w:i/>
        </w:rPr>
        <w:t xml:space="preserve">”</w:t>
      </w:r>
      <w:r>
        <w:t xml:space="preserve"> </w:t>
      </w:r>
      <w:r>
        <w:t xml:space="preserve">(O’Neill et al. 2017)</w:t>
      </w:r>
      <w:r>
        <w:t xml:space="preserve">.</w:t>
      </w:r>
    </w:p>
    <w:p>
      <w:pPr>
        <w:pStyle w:val="BodyText"/>
      </w:pPr>
      <w:r>
        <w:t xml:space="preserve">In contrast with SSP1, SSP3 describes a world that is characterized by fragmentation and sustainability is of no interest. SSP3 _</w:t>
      </w:r>
      <w:r>
        <w:t xml:space="preserve">“</w:t>
      </w:r>
      <w:r>
        <w:t xml:space="preserve">with its theme of international fragmentation and a world characterized by regional rivalry can already be seen in some of the current regional rivalries and conflicts, but contrasts with globalization trends in other areas. It is based on the assumption that these globalization trends can be reversed by a number of events_</w:t>
      </w:r>
      <w:r>
        <w:t xml:space="preserve">”</w:t>
      </w:r>
      <w:r>
        <w:t xml:space="preserve">(O’Neill et al. 2017)</w:t>
      </w:r>
      <w:r>
        <w:t xml:space="preserve">.</w:t>
      </w:r>
    </w:p>
    <w:p>
      <w:pPr>
        <w:pStyle w:val="BodyText"/>
      </w:pPr>
      <w:r>
        <w:t xml:space="preserve">SSP1 and SSP3 can be regarded as the scenarios that represent the bandwidth of the socio-economic spectrum, including uncertainties related to both external (global markets and the political situation) and internal conditions. This is illustrated by Figure 1 and 3, which shows that GDP, Population and yield projections of both scenarios on comparison to SSP1, the business as usual scenario. Projections for the rest of the world are provided in the Annex.</w:t>
      </w:r>
    </w:p>
    <w:p>
      <w:pPr>
        <w:pStyle w:val="Heading1"/>
      </w:pPr>
      <w:bookmarkStart w:id="49" w:name="references"/>
      <w:bookmarkEnd w:id="49"/>
      <w:r>
        <w:t xml:space="preserve">References</w:t>
      </w:r>
    </w:p>
    <w:p>
      <w:pPr>
        <w:pStyle w:val="Bibliography"/>
      </w:pPr>
      <w:r>
        <w:t xml:space="preserve">Bouwman, A. F., K. W. Van Der Hoek, B. Eickhout, and I. Soenario. 2005. “Exploring changes in world ruminant production systems.”</w:t>
      </w:r>
      <w:r>
        <w:t xml:space="preserve"> </w:t>
      </w:r>
      <w:r>
        <w:rPr>
          <w:i/>
        </w:rPr>
        <w:t xml:space="preserve">Agricultural Systems</w:t>
      </w:r>
      <w:r>
        <w:t xml:space="preserve"> </w:t>
      </w:r>
      <w:r>
        <w:t xml:space="preserve">84 (2): 121–53. doi:</w:t>
      </w:r>
      <w:hyperlink r:id="rId50">
        <w:r>
          <w:rPr>
            <w:rStyle w:val="Hyperlink"/>
          </w:rPr>
          <w:t xml:space="preserve">10.1016/j.agsy.2004.05.006</w:t>
        </w:r>
      </w:hyperlink>
      <w:r>
        <w:t xml:space="preserve">.</w:t>
      </w:r>
    </w:p>
    <w:p>
      <w:pPr>
        <w:pStyle w:val="Bibliography"/>
      </w:pPr>
      <w:r>
        <w:t xml:space="preserve">Fricko, Oliver, Petr Havlik, Joeri Rogelj, Zbigniew Klimont, Mykola Gusti, Nils Johnson, Peter Kolp, et al. 2017. “The marker quantification of the Shared Socioeconomic Pathway 2: A middle-of-the-road scenario for the 21st century.”</w:t>
      </w:r>
      <w:r>
        <w:t xml:space="preserve"> </w:t>
      </w:r>
      <w:r>
        <w:rPr>
          <w:i/>
        </w:rPr>
        <w:t xml:space="preserve">Global Environmental Change</w:t>
      </w:r>
      <w:r>
        <w:t xml:space="preserve"> </w:t>
      </w:r>
      <w:r>
        <w:t xml:space="preserve">42 (January). Pergamon: 251–67. doi:</w:t>
      </w:r>
      <w:hyperlink r:id="rId51">
        <w:r>
          <w:rPr>
            <w:rStyle w:val="Hyperlink"/>
          </w:rPr>
          <w:t xml:space="preserve">10.1016/J.GLOENVCHA.2016.06.004</w:t>
        </w:r>
      </w:hyperlink>
      <w:r>
        <w:t xml:space="preserve">.</w:t>
      </w:r>
    </w:p>
    <w:p>
      <w:pPr>
        <w:pStyle w:val="Bibliography"/>
      </w:pPr>
      <w:r>
        <w:t xml:space="preserve">Havlík, Petr, Hugo Valin, Mario Herrero, Michael Obersteiner, Erwin Schmid, Mariana C Rufino, Aline Mosnier, et al. 2014. “Climate change mitigation through livestock system transitions.”</w:t>
      </w:r>
      <w:r>
        <w:t xml:space="preserve"> </w:t>
      </w:r>
      <w:r>
        <w:rPr>
          <w:i/>
        </w:rPr>
        <w:t xml:space="preserve">Proceedings of the National Academy of Sciences of the United States of America</w:t>
      </w:r>
      <w:r>
        <w:t xml:space="preserve"> </w:t>
      </w:r>
      <w:r>
        <w:t xml:space="preserve">111 (10). National Academy of Sciences: 3709–14. doi:</w:t>
      </w:r>
      <w:hyperlink r:id="rId52">
        <w:r>
          <w:rPr>
            <w:rStyle w:val="Hyperlink"/>
          </w:rPr>
          <w:t xml:space="preserve">10.1073/pnas.1308044111</w:t>
        </w:r>
      </w:hyperlink>
      <w:r>
        <w:t xml:space="preserve">.</w:t>
      </w:r>
    </w:p>
    <w:p>
      <w:pPr>
        <w:pStyle w:val="Bibliography"/>
      </w:pPr>
      <w:r>
        <w:t xml:space="preserve">Herrero, M., P. Havlik, J.M. McIntire, A. Palazzo, and H. Valin. 2014. “African Livestock Futures: Realizing the Potential of Livestock for Food Security, Poverty Reduction and the Environment in Sub-Saharan Africa.” Geneva, Switzerland: Office of the Special Representative of the UN Secretary General for Food Security; Nutrition; the United Nations System Influenza Coordination.</w:t>
      </w:r>
    </w:p>
    <w:p>
      <w:pPr>
        <w:pStyle w:val="Bibliography"/>
      </w:pPr>
      <w:r>
        <w:t xml:space="preserve">Kriegler, Elmar, Brian C. O’Neill, Stephane Hallegatte, Tom Kram, Robert J. Lempert, Richard H. Moss, and Thomas Wilbanks. 2012. “The need for and use of socio-economic scenarios for climate change analysis: A new approach based on shared socio-economic pathways.”</w:t>
      </w:r>
      <w:r>
        <w:t xml:space="preserve"> </w:t>
      </w:r>
      <w:r>
        <w:rPr>
          <w:i/>
        </w:rPr>
        <w:t xml:space="preserve">Global Environmental Change</w:t>
      </w:r>
      <w:r>
        <w:t xml:space="preserve"> </w:t>
      </w:r>
      <w:r>
        <w:t xml:space="preserve">22 (4). Elsevier Ltd: 807–22. doi:</w:t>
      </w:r>
      <w:hyperlink r:id="rId53">
        <w:r>
          <w:rPr>
            <w:rStyle w:val="Hyperlink"/>
          </w:rPr>
          <w:t xml:space="preserve">10.1016/j.gloenvcha.2012.05.005</w:t>
        </w:r>
      </w:hyperlink>
      <w:r>
        <w:t xml:space="preserve">.</w:t>
      </w:r>
    </w:p>
    <w:p>
      <w:pPr>
        <w:pStyle w:val="Bibliography"/>
      </w:pPr>
      <w:r>
        <w:t xml:space="preserve">O’Neill, Brian C., Elmar Kriegler, Kristie L. Ebi, Eric Kemp-Benedict, Keywan Riahi, Dale S. Rothman, Bas J. van Ruijven, et al. 2017. “The roads ahead: Narratives for shared socioeconomic pathways describing world futures in the 21st century.”</w:t>
      </w:r>
      <w:r>
        <w:t xml:space="preserve"> </w:t>
      </w:r>
      <w:r>
        <w:rPr>
          <w:i/>
        </w:rPr>
        <w:t xml:space="preserve">Global Environmental Change</w:t>
      </w:r>
      <w:r>
        <w:t xml:space="preserve"> </w:t>
      </w:r>
      <w:r>
        <w:t xml:space="preserve">42 (January). Pergamon: 169–80. doi:</w:t>
      </w:r>
      <w:hyperlink r:id="rId54">
        <w:r>
          <w:rPr>
            <w:rStyle w:val="Hyperlink"/>
          </w:rPr>
          <w:t xml:space="preserve">10.1016/j.gloenvcha.2015.01.004</w:t>
        </w:r>
      </w:hyperlink>
      <w:r>
        <w:t xml:space="preserve">.</w:t>
      </w:r>
    </w:p>
    <w:p>
      <w:pPr>
        <w:pStyle w:val="Bibliography"/>
      </w:pPr>
      <w:r>
        <w:t xml:space="preserve">Riahi, Keywan, Shilpa Rao, Volker Krey, Cheolhung Cho, Vadim Chirkov, Guenther Fischer, Georg Kindermann, Nebojsa Nakicenovic, and Peter Rafaj. 2011. “RCP 8.5-A scenario of comparatively high greenhouse gas emissions.”</w:t>
      </w:r>
      <w:r>
        <w:t xml:space="preserve"> </w:t>
      </w:r>
      <w:r>
        <w:rPr>
          <w:i/>
        </w:rPr>
        <w:t xml:space="preserve">Climatic Change</w:t>
      </w:r>
      <w:r>
        <w:t xml:space="preserve"> </w:t>
      </w:r>
      <w:r>
        <w:t xml:space="preserve">109 (1): 33–57. doi:</w:t>
      </w:r>
      <w:hyperlink r:id="rId55">
        <w:r>
          <w:rPr>
            <w:rStyle w:val="Hyperlink"/>
          </w:rPr>
          <w:t xml:space="preserve">10.1007/s10584-011-0149-y</w:t>
        </w:r>
      </w:hyperlink>
      <w:r>
        <w:t xml:space="preserve">.</w:t>
      </w:r>
    </w:p>
    <w:p>
      <w:pPr>
        <w:pStyle w:val="Bibliography"/>
      </w:pPr>
      <w:r>
        <w:t xml:space="preserve">Vuuren, Detlef P. van, Elmar Kriegler, Brian C. O’Neill, Kristie L. Ebi, Keywan Riahi, Timothy R. Carter, Jae Edmonds, et al. 2014. “A new scenario framework for Climate Change Research: Scenario matrix architecture.”</w:t>
      </w:r>
      <w:r>
        <w:t xml:space="preserve"> </w:t>
      </w:r>
      <w:r>
        <w:rPr>
          <w:i/>
        </w:rPr>
        <w:t xml:space="preserve">Climatic Change</w:t>
      </w:r>
      <w:r>
        <w:t xml:space="preserve"> </w:t>
      </w:r>
      <w:r>
        <w:t xml:space="preserve">122 (3): 373–86. doi:</w:t>
      </w:r>
      <w:hyperlink r:id="rId56">
        <w:r>
          <w:rPr>
            <w:rStyle w:val="Hyperlink"/>
          </w:rPr>
          <w:t xml:space="preserve">10.1007/s10584-013-0906-1</w:t>
        </w:r>
      </w:hyperlink>
      <w:r>
        <w:t xml:space="preserve">.</w:t>
      </w:r>
    </w:p>
    <w:p>
      <w:pPr>
        <w:pStyle w:val="Bibliography"/>
      </w:pPr>
      <w:r>
        <w:t xml:space="preserve">Vuuren, Detlef P. van, Keywan Riahi, Katherine Calvin, Rob Dellink, Johannes Emmerling, Shinichiro Fujimori, Samir KC, Elmar Kriegler, and Brian O’Neill. 2017. “The Shared Socio-economic Pathways: Trajectories for human development and global environmental change.”</w:t>
      </w:r>
      <w:r>
        <w:t xml:space="preserve"> </w:t>
      </w:r>
      <w:r>
        <w:rPr>
          <w:i/>
        </w:rPr>
        <w:t xml:space="preserve">Global Environmental Change</w:t>
      </w:r>
      <w:r>
        <w:t xml:space="preserve"> </w:t>
      </w:r>
      <w:r>
        <w:t xml:space="preserve">42 (January). Pergamon: 148–52. doi:</w:t>
      </w:r>
      <w:hyperlink r:id="rId57">
        <w:r>
          <w:rPr>
            <w:rStyle w:val="Hyperlink"/>
          </w:rPr>
          <w:t xml:space="preserve">10.1016/j.gloenvcha.2016.10.009</w:t>
        </w:r>
      </w:hyperlink>
      <w:r>
        <w:t xml:space="preserve">.</w:t>
      </w:r>
    </w:p>
    <w:p>
      <w:pPr>
        <w:pStyle w:val="Bibliography"/>
      </w:pPr>
      <w:r>
        <w:t xml:space="preserve">Wirsenius, Stefan, Christian Azar, and Göran Berndes. 2010. “How much land is needed for global food production under scenarios of dietary changes and livestock productivity increases in 2030?”</w:t>
      </w:r>
      <w:r>
        <w:t xml:space="preserve"> </w:t>
      </w:r>
      <w:r>
        <w:rPr>
          <w:i/>
        </w:rPr>
        <w:t xml:space="preserve">Agricultural Systems</w:t>
      </w:r>
      <w:r>
        <w:t xml:space="preserve"> </w:t>
      </w:r>
      <w:r>
        <w:t xml:space="preserve">103 (9). Elsevier: 621–38. doi:</w:t>
      </w:r>
      <w:hyperlink r:id="rId58">
        <w:r>
          <w:rPr>
            <w:rStyle w:val="Hyperlink"/>
          </w:rPr>
          <w:t xml:space="preserve">10.1016/j.agsy.2010.07.005</w:t>
        </w:r>
      </w:hyperlink>
      <w:r>
        <w:t xml:space="preserve">.</w:t>
      </w:r>
    </w:p>
    <w:sectPr w:rsidR="000855F7">
      <w:footerReference w:type="default" r:id="rId8"/>
      <w:pgSz w:w="12240" w:h="15840"/>
      <w:pgMar w:top="1417" w:right="1417" w:bottom="1417" w:left="1417"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36909015"/>
      <w:docPartObj>
        <w:docPartGallery w:val="Page Numbers (Bottom of Page)"/>
        <w:docPartUnique/>
      </w:docPartObj>
    </w:sdtPr>
    <w:sdtEndPr>
      <w:rPr>
        <w:noProof/>
      </w:rPr>
    </w:sdtEndPr>
    <w:sdtContent>
      <w:p w:rsidR="0046739F" w:rsidRDefault="006059BA">
        <w:pPr>
          <w:pStyle w:val="Footer"/>
          <w:jc w:val="center"/>
        </w:pPr>
        <w:r>
          <w:fldChar w:fldCharType="begin"/>
        </w:r>
        <w:r>
          <w:instrText xml:space="preserve"> PAGE   \* MERGEFORMAT </w:instrText>
        </w:r>
        <w:r>
          <w:fldChar w:fldCharType="separate"/>
        </w:r>
        <w:r w:rsidR="00D53E09">
          <w:rPr>
            <w:noProof/>
          </w:rPr>
          <w:t>22</w:t>
        </w:r>
        <w:r>
          <w:rPr>
            <w:noProof/>
          </w:rPr>
          <w:fldChar w:fldCharType="end"/>
        </w:r>
      </w:p>
    </w:sdtContent>
  </w:sdt>
  <w:p w:rsidR="0046739F" w:rsidRDefault="00376A72">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4">
    <w:p>
      <w:pPr>
        <w:pStyle w:val="FootnoteText"/>
      </w:pPr>
      <w:r>
        <w:rPr>
          <w:rStyle w:val="FootnoteReference"/>
        </w:rPr>
        <w:footnoteRef/>
      </w:r>
      <w:r>
        <w:t xml:space="preserve"> </w:t>
      </w:r>
      <w:r>
        <w:t xml:space="preserve">The SSP scenarios include projections up to 2100.</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887FF4FB"/>
    <w:multiLevelType w:val="multilevel"/>
    <w:tmpl w:val="FBD4AB9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9A6E489"/>
    <w:multiLevelType w:val="multilevel"/>
    <w:tmpl w:val="7996020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B619AB92"/>
    <w:multiLevelType w:val="multilevel"/>
    <w:tmpl w:val="5C26771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C0E410CA"/>
    <w:multiLevelType w:val="multilevel"/>
    <w:tmpl w:val="AA70133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DC0F7B24"/>
    <w:multiLevelType w:val="multilevel"/>
    <w:tmpl w:val="417A74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FFFFFF7C"/>
    <w:multiLevelType w:val="singleLevel"/>
    <w:tmpl w:val="FC3C43C6"/>
    <w:lvl w:ilvl="0">
      <w:start w:val="1"/>
      <w:numFmt w:val="decimal"/>
      <w:lvlText w:val="%1."/>
      <w:lvlJc w:val="left"/>
      <w:pPr>
        <w:tabs>
          <w:tab w:val="num" w:pos="1492"/>
        </w:tabs>
        <w:ind w:left="1492" w:hanging="360"/>
      </w:pPr>
    </w:lvl>
  </w:abstractNum>
  <w:abstractNum w:abstractNumId="6" w15:restartNumberingAfterBreak="0">
    <w:nsid w:val="FFFFFF7D"/>
    <w:multiLevelType w:val="singleLevel"/>
    <w:tmpl w:val="F686FEAE"/>
    <w:lvl w:ilvl="0">
      <w:start w:val="1"/>
      <w:numFmt w:val="decimal"/>
      <w:lvlText w:val="%1."/>
      <w:lvlJc w:val="left"/>
      <w:pPr>
        <w:tabs>
          <w:tab w:val="num" w:pos="1209"/>
        </w:tabs>
        <w:ind w:left="1209" w:hanging="360"/>
      </w:pPr>
    </w:lvl>
  </w:abstractNum>
  <w:abstractNum w:abstractNumId="7" w15:restartNumberingAfterBreak="0">
    <w:nsid w:val="FFFFFF7E"/>
    <w:multiLevelType w:val="singleLevel"/>
    <w:tmpl w:val="F8B4B250"/>
    <w:lvl w:ilvl="0">
      <w:start w:val="1"/>
      <w:numFmt w:val="decimal"/>
      <w:lvlText w:val="%1."/>
      <w:lvlJc w:val="left"/>
      <w:pPr>
        <w:tabs>
          <w:tab w:val="num" w:pos="926"/>
        </w:tabs>
        <w:ind w:left="926" w:hanging="360"/>
      </w:pPr>
    </w:lvl>
  </w:abstractNum>
  <w:abstractNum w:abstractNumId="8" w15:restartNumberingAfterBreak="0">
    <w:nsid w:val="FFFFFF7F"/>
    <w:multiLevelType w:val="singleLevel"/>
    <w:tmpl w:val="89D4F3D6"/>
    <w:lvl w:ilvl="0">
      <w:start w:val="1"/>
      <w:numFmt w:val="decimal"/>
      <w:lvlText w:val="%1."/>
      <w:lvlJc w:val="left"/>
      <w:pPr>
        <w:tabs>
          <w:tab w:val="num" w:pos="643"/>
        </w:tabs>
        <w:ind w:left="643" w:hanging="360"/>
      </w:pPr>
    </w:lvl>
  </w:abstractNum>
  <w:abstractNum w:abstractNumId="9" w15:restartNumberingAfterBreak="0">
    <w:nsid w:val="FFFFFF80"/>
    <w:multiLevelType w:val="singleLevel"/>
    <w:tmpl w:val="59ACA018"/>
    <w:lvl w:ilvl="0">
      <w:start w:val="1"/>
      <w:numFmt w:val="bullet"/>
      <w:lvlText w:val=""/>
      <w:lvlJc w:val="left"/>
      <w:pPr>
        <w:tabs>
          <w:tab w:val="num" w:pos="1492"/>
        </w:tabs>
        <w:ind w:left="1492" w:hanging="360"/>
      </w:pPr>
      <w:rPr>
        <w:rFonts w:ascii="Symbol" w:hAnsi="Symbol" w:hint="default"/>
      </w:rPr>
    </w:lvl>
  </w:abstractNum>
  <w:abstractNum w:abstractNumId="10" w15:restartNumberingAfterBreak="0">
    <w:nsid w:val="FFFFFF81"/>
    <w:multiLevelType w:val="singleLevel"/>
    <w:tmpl w:val="9F1EF212"/>
    <w:lvl w:ilvl="0">
      <w:start w:val="1"/>
      <w:numFmt w:val="bullet"/>
      <w:lvlText w:val=""/>
      <w:lvlJc w:val="left"/>
      <w:pPr>
        <w:tabs>
          <w:tab w:val="num" w:pos="1209"/>
        </w:tabs>
        <w:ind w:left="1209" w:hanging="360"/>
      </w:pPr>
      <w:rPr>
        <w:rFonts w:ascii="Symbol" w:hAnsi="Symbol" w:hint="default"/>
      </w:rPr>
    </w:lvl>
  </w:abstractNum>
  <w:abstractNum w:abstractNumId="11" w15:restartNumberingAfterBreak="0">
    <w:nsid w:val="FFFFFF82"/>
    <w:multiLevelType w:val="singleLevel"/>
    <w:tmpl w:val="EC8A2214"/>
    <w:lvl w:ilvl="0">
      <w:start w:val="1"/>
      <w:numFmt w:val="bullet"/>
      <w:lvlText w:val=""/>
      <w:lvlJc w:val="left"/>
      <w:pPr>
        <w:tabs>
          <w:tab w:val="num" w:pos="926"/>
        </w:tabs>
        <w:ind w:left="926" w:hanging="360"/>
      </w:pPr>
      <w:rPr>
        <w:rFonts w:ascii="Symbol" w:hAnsi="Symbol" w:hint="default"/>
      </w:rPr>
    </w:lvl>
  </w:abstractNum>
  <w:abstractNum w:abstractNumId="12" w15:restartNumberingAfterBreak="0">
    <w:nsid w:val="FFFFFF83"/>
    <w:multiLevelType w:val="singleLevel"/>
    <w:tmpl w:val="09EC152C"/>
    <w:lvl w:ilvl="0">
      <w:start w:val="1"/>
      <w:numFmt w:val="bullet"/>
      <w:lvlText w:val=""/>
      <w:lvlJc w:val="left"/>
      <w:pPr>
        <w:tabs>
          <w:tab w:val="num" w:pos="643"/>
        </w:tabs>
        <w:ind w:left="643" w:hanging="360"/>
      </w:pPr>
      <w:rPr>
        <w:rFonts w:ascii="Symbol" w:hAnsi="Symbol" w:hint="default"/>
      </w:rPr>
    </w:lvl>
  </w:abstractNum>
  <w:abstractNum w:abstractNumId="13" w15:restartNumberingAfterBreak="0">
    <w:nsid w:val="FFFFFF88"/>
    <w:multiLevelType w:val="singleLevel"/>
    <w:tmpl w:val="3B12AD9A"/>
    <w:lvl w:ilvl="0">
      <w:start w:val="1"/>
      <w:numFmt w:val="decimal"/>
      <w:lvlText w:val="%1."/>
      <w:lvlJc w:val="left"/>
      <w:pPr>
        <w:tabs>
          <w:tab w:val="num" w:pos="360"/>
        </w:tabs>
        <w:ind w:left="360" w:hanging="360"/>
      </w:pPr>
    </w:lvl>
  </w:abstractNum>
  <w:abstractNum w:abstractNumId="14" w15:restartNumberingAfterBreak="0">
    <w:nsid w:val="FFFFFF89"/>
    <w:multiLevelType w:val="singleLevel"/>
    <w:tmpl w:val="F15A9B94"/>
    <w:lvl w:ilvl="0">
      <w:start w:val="1"/>
      <w:numFmt w:val="bullet"/>
      <w:lvlText w:val=""/>
      <w:lvlJc w:val="left"/>
      <w:pPr>
        <w:tabs>
          <w:tab w:val="num" w:pos="360"/>
        </w:tabs>
        <w:ind w:left="360" w:hanging="360"/>
      </w:pPr>
      <w:rPr>
        <w:rFonts w:ascii="Symbol" w:hAnsi="Symbol" w:hint="default"/>
      </w:rPr>
    </w:lvl>
  </w:abstractNum>
  <w:abstractNum w:abstractNumId="15" w15:restartNumberingAfterBreak="0">
    <w:nsid w:val="0B7B1978"/>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2674FFEA"/>
    <w:multiLevelType w:val="multilevel"/>
    <w:tmpl w:val="CFF48394"/>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7" w15:restartNumberingAfterBreak="0">
    <w:nsid w:val="2C4AEC46"/>
    <w:multiLevelType w:val="multilevel"/>
    <w:tmpl w:val="AE72CCA8"/>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4B4D1DF7"/>
    <w:multiLevelType w:val="multilevel"/>
    <w:tmpl w:val="0DFCE25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9" w15:restartNumberingAfterBreak="0">
    <w:nsid w:val="70336972"/>
    <w:multiLevelType w:val="multilevel"/>
    <w:tmpl w:val="C92AF1A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7911d8f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784b7ba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5"/>
  </w:num>
  <w:num w:numId="2">
    <w:abstractNumId w:val="0"/>
  </w:num>
  <w:num w:numId="3">
    <w:abstractNumId w:val="0"/>
  </w:num>
  <w:num w:numId="4">
    <w:abstractNumId w:val="0"/>
  </w:num>
  <w:num w:numId="5">
    <w:abstractNumId w:val="0"/>
  </w:num>
  <w:num w:numId="6">
    <w:abstractNumId w:val="0"/>
  </w:num>
  <w:num w:numId="7">
    <w:abstractNumId w:val="0"/>
  </w:num>
  <w:num w:numId="8">
    <w:abstractNumId w:val="0"/>
  </w:num>
  <w:num w:numId="9">
    <w:abstractNumId w:val="17"/>
  </w:num>
  <w:num w:numId="10">
    <w:abstractNumId w:val="16"/>
  </w:num>
  <w:num w:numId="11">
    <w:abstractNumId w:val="16"/>
  </w:num>
  <w:num w:numId="12">
    <w:abstractNumId w:val="16"/>
  </w:num>
  <w:num w:numId="13">
    <w:abstractNumId w:val="16"/>
  </w:num>
  <w:num w:numId="14">
    <w:abstractNumId w:val="16"/>
  </w:num>
  <w:num w:numId="15">
    <w:abstractNumId w:val="16"/>
  </w:num>
  <w:num w:numId="16">
    <w:abstractNumId w:val="16"/>
  </w:num>
  <w:num w:numId="17">
    <w:abstractNumId w:val="18"/>
  </w:num>
  <w:num w:numId="18">
    <w:abstractNumId w:val="3"/>
  </w:num>
  <w:num w:numId="19">
    <w:abstractNumId w:val="3"/>
  </w:num>
  <w:num w:numId="20">
    <w:abstractNumId w:val="3"/>
  </w:num>
  <w:num w:numId="21">
    <w:abstractNumId w:val="3"/>
  </w:num>
  <w:num w:numId="22">
    <w:abstractNumId w:val="3"/>
  </w:num>
  <w:num w:numId="23">
    <w:abstractNumId w:val="3"/>
  </w:num>
  <w:num w:numId="24">
    <w:abstractNumId w:val="3"/>
  </w:num>
  <w:num w:numId="25">
    <w:abstractNumId w:val="14"/>
  </w:num>
  <w:num w:numId="26">
    <w:abstractNumId w:val="12"/>
  </w:num>
  <w:num w:numId="27">
    <w:abstractNumId w:val="11"/>
  </w:num>
  <w:num w:numId="28">
    <w:abstractNumId w:val="10"/>
  </w:num>
  <w:num w:numId="29">
    <w:abstractNumId w:val="9"/>
  </w:num>
  <w:num w:numId="30">
    <w:abstractNumId w:val="13"/>
  </w:num>
  <w:num w:numId="31">
    <w:abstractNumId w:val="8"/>
  </w:num>
  <w:num w:numId="32">
    <w:abstractNumId w:val="7"/>
  </w:num>
  <w:num w:numId="33">
    <w:abstractNumId w:val="6"/>
  </w:num>
  <w:num w:numId="34">
    <w:abstractNumId w:val="5"/>
  </w:num>
  <w:num w:numId="35">
    <w:abstractNumId w:val="1"/>
  </w:num>
  <w:num w:numId="36">
    <w:abstractNumId w:val="19"/>
  </w:num>
  <w:num w:numId="37">
    <w:abstractNumId w:val="19"/>
  </w:num>
  <w:num w:numId="38">
    <w:abstractNumId w:val="19"/>
  </w:num>
  <w:num w:numId="39">
    <w:abstractNumId w:val="19"/>
  </w:num>
  <w:num w:numId="40">
    <w:abstractNumId w:val="19"/>
  </w:num>
  <w:num w:numId="41">
    <w:abstractNumId w:val="19"/>
  </w:num>
  <w:num w:numId="42">
    <w:abstractNumId w:val="19"/>
  </w:num>
  <w:num w:numId="43">
    <w:abstractNumId w:val="4"/>
  </w:num>
  <w:num w:numId="44">
    <w:abstractNumId w:val="2"/>
  </w:num>
  <w:num w:numId="45">
    <w:abstractNumId w:val="2"/>
  </w:num>
  <w:num w:numId="46">
    <w:abstractNumId w:val="2"/>
  </w:num>
  <w:num w:numId="47">
    <w:abstractNumId w:val="2"/>
  </w:num>
  <w:num w:numId="48">
    <w:abstractNumId w:val="2"/>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A7FBA"/>
    <w:pPr>
      <w:spacing w:line="264" w:lineRule="auto"/>
      <w:jc w:val="both"/>
    </w:pPr>
    <w:rPr>
      <w:rFonts w:ascii="Times New Roman" w:hAnsi="Times New Roman"/>
    </w:rPr>
  </w:style>
  <w:style w:type="paragraph" w:styleId="Heading1">
    <w:name w:val="heading 1"/>
    <w:basedOn w:val="Normal"/>
    <w:next w:val="BodyText"/>
    <w:uiPriority w:val="9"/>
    <w:qFormat/>
    <w:rsid w:val="00527F7C"/>
    <w:pPr>
      <w:keepNext/>
      <w:keepLines/>
      <w:numPr>
        <w:numId w:val="1"/>
      </w:numPr>
      <w:spacing w:before="480" w:after="0"/>
      <w:outlineLvl w:val="0"/>
    </w:pPr>
    <w:rPr>
      <w:rFonts w:eastAsiaTheme="majorEastAsia" w:cstheme="majorBidi"/>
      <w:b/>
      <w:bCs/>
      <w:sz w:val="32"/>
      <w:szCs w:val="32"/>
    </w:rPr>
  </w:style>
  <w:style w:type="paragraph" w:styleId="Heading2">
    <w:name w:val="heading 2"/>
    <w:basedOn w:val="Normal"/>
    <w:next w:val="BodyText"/>
    <w:uiPriority w:val="9"/>
    <w:unhideWhenUsed/>
    <w:qFormat/>
    <w:rsid w:val="00C51189"/>
    <w:pPr>
      <w:keepNext/>
      <w:keepLines/>
      <w:numPr>
        <w:ilvl w:val="1"/>
        <w:numId w:val="1"/>
      </w:numPr>
      <w:spacing w:before="360" w:after="0"/>
      <w:ind w:left="578" w:hanging="578"/>
      <w:outlineLvl w:val="1"/>
    </w:pPr>
    <w:rPr>
      <w:rFonts w:eastAsiaTheme="majorEastAsia" w:cstheme="majorBidi"/>
      <w:b/>
      <w:bCs/>
      <w:sz w:val="32"/>
      <w:szCs w:val="32"/>
    </w:rPr>
  </w:style>
  <w:style w:type="paragraph" w:styleId="Heading3">
    <w:name w:val="heading 3"/>
    <w:basedOn w:val="Normal"/>
    <w:next w:val="BodyText"/>
    <w:uiPriority w:val="9"/>
    <w:unhideWhenUsed/>
    <w:qFormat/>
    <w:rsid w:val="00C43DEB"/>
    <w:pPr>
      <w:keepNext/>
      <w:keepLines/>
      <w:numPr>
        <w:ilvl w:val="2"/>
        <w:numId w:val="1"/>
      </w:numPr>
      <w:spacing w:before="200" w:after="0"/>
      <w:outlineLvl w:val="2"/>
    </w:pPr>
    <w:rPr>
      <w:rFonts w:eastAsiaTheme="majorEastAsia" w:cstheme="majorBidi"/>
      <w:b/>
      <w:bCs/>
      <w:sz w:val="28"/>
      <w:szCs w:val="28"/>
    </w:rPr>
  </w:style>
  <w:style w:type="paragraph" w:styleId="Heading4">
    <w:name w:val="heading 4"/>
    <w:basedOn w:val="Normal"/>
    <w:next w:val="BodyText"/>
    <w:uiPriority w:val="9"/>
    <w:unhideWhenUsed/>
    <w:qFormat/>
    <w:pPr>
      <w:keepNext/>
      <w:keepLines/>
      <w:numPr>
        <w:ilvl w:val="3"/>
        <w:numId w:val="1"/>
      </w:numPr>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rsid w:val="00922224"/>
    <w:pPr>
      <w:keepNext/>
      <w:keepLines/>
      <w:spacing w:after="0" w:line="240" w:lineRule="auto"/>
      <w:jc w:val="left"/>
      <w:outlineLvl w:val="4"/>
    </w:pPr>
    <w:rPr>
      <w:rFonts w:eastAsiaTheme="majorEastAsia" w:cstheme="majorBidi"/>
      <w:iCs/>
      <w:color w:val="000000" w:themeColor="text1"/>
      <w:sz w:val="16"/>
    </w:rPr>
  </w:style>
  <w:style w:type="paragraph" w:styleId="Heading6">
    <w:name w:val="heading 6"/>
    <w:basedOn w:val="Heading5"/>
    <w:next w:val="BodyText"/>
    <w:uiPriority w:val="9"/>
    <w:unhideWhenUsed/>
    <w:qFormat/>
    <w:rsid w:val="003F1744"/>
    <w:pPr>
      <w:keepNext w:val="0"/>
      <w:keepLines w:val="0"/>
      <w:pageBreakBefore/>
      <w:widowControl w:val="0"/>
      <w:numPr>
        <w:ilvl w:val="5"/>
        <w:numId w:val="1"/>
      </w:numPr>
      <w:spacing w:line="20" w:lineRule="exact"/>
      <w:ind w:left="1151" w:hanging="1151"/>
      <w:outlineLvl w:val="5"/>
    </w:pPr>
    <w:rPr>
      <w:rFonts w:asciiTheme="majorHAnsi" w:hAnsiTheme="majorHAnsi"/>
      <w:color w:val="FFFFFF" w:themeColor="background1"/>
    </w:rPr>
  </w:style>
  <w:style w:type="paragraph" w:styleId="Heading7">
    <w:name w:val="heading 7"/>
    <w:basedOn w:val="Normal"/>
    <w:next w:val="Normal"/>
    <w:link w:val="Heading7Char"/>
    <w:rsid w:val="00FD31C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rsid w:val="00FD31C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rsid w:val="00FD31C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AC3F01"/>
    <w:pPr>
      <w:spacing w:before="180" w:after="180"/>
    </w:pPr>
  </w:style>
  <w:style w:type="paragraph" w:customStyle="1" w:styleId="FirstParagraph">
    <w:name w:val="First Paragraph"/>
    <w:basedOn w:val="BodyText"/>
    <w:next w:val="BodyText"/>
    <w:qFormat/>
    <w:rsid w:val="00613EBA"/>
  </w:style>
  <w:style w:type="paragraph" w:customStyle="1" w:styleId="Compact">
    <w:name w:val="Compact"/>
    <w:basedOn w:val="BodyText"/>
    <w:qFormat/>
    <w:rsid w:val="00D53E09"/>
    <w:pPr>
      <w:spacing w:before="36" w:after="36"/>
      <w:jc w:val="left"/>
    </w:pPr>
  </w:style>
  <w:style w:type="paragraph" w:styleId="Title">
    <w:name w:val="Title"/>
    <w:basedOn w:val="Normal"/>
    <w:next w:val="BodyText"/>
    <w:qFormat/>
    <w:rsid w:val="00652835"/>
    <w:pPr>
      <w:keepNext/>
      <w:keepLines/>
      <w:spacing w:before="480" w:after="240"/>
      <w:jc w:val="center"/>
    </w:pPr>
    <w:rPr>
      <w:rFonts w:eastAsiaTheme="majorEastAsia" w:cstheme="majorBidi"/>
      <w:b/>
      <w:bCs/>
      <w:color w:val="000000" w:themeColor="text1"/>
      <w:sz w:val="36"/>
      <w:szCs w:val="36"/>
      <w:lang w:val="nl-NL"/>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652835"/>
    <w:pPr>
      <w:keepNext/>
      <w:keepLines/>
      <w:jc w:val="center"/>
    </w:pPr>
    <w:rPr>
      <w:rFonts w:ascii="Times New Roman" w:hAnsi="Times New Roman"/>
      <w:lang w:val="nl-NL"/>
    </w:rPr>
  </w:style>
  <w:style w:type="paragraph" w:styleId="Date">
    <w:name w:val="Date"/>
    <w:next w:val="BodyText"/>
    <w:qFormat/>
    <w:rsid w:val="00652835"/>
    <w:pPr>
      <w:keepNext/>
      <w:keepLines/>
      <w:jc w:val="center"/>
    </w:pPr>
    <w:rPr>
      <w:rFonts w:ascii="Times New Roman" w:hAnsi="Times New Roman"/>
      <w:lang w:val="nl-NL"/>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rsid w:val="00AC3F01"/>
    <w:pPr>
      <w:spacing w:after="0" w:line="240" w:lineRule="auto"/>
      <w:ind w:left="720" w:hanging="72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DF586E"/>
    <w:pPr>
      <w:keepNext/>
    </w:pPr>
    <w:rPr>
      <w:b/>
      <w:i w:val="0"/>
    </w:r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sid w:val="00D5478D"/>
    <w:rPr>
      <w:rFonts w:ascii="Times New Roman" w:hAnsi="Times New Roman"/>
      <w:b/>
      <w:shd w:val="clear" w:color="auto" w:fill="F8F8F8"/>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rsid w:val="00D5478D"/>
    <w:pPr>
      <w:shd w:val="clear" w:color="auto" w:fill="F8F8F8"/>
      <w:wordWrap w:val="0"/>
      <w:spacing w:line="240" w:lineRule="auto"/>
      <w:jc w:val="left"/>
    </w:pPr>
    <w:rPr>
      <w:b/>
    </w:rPr>
  </w:style>
  <w:style w:type="character" w:customStyle="1" w:styleId="KeywordTok">
    <w:name w:val="KeywordTok"/>
    <w:basedOn w:val="VerbatimChar"/>
    <w:rPr>
      <w:rFonts w:ascii="Consolas" w:hAnsi="Consolas"/>
      <w:b w:val="0"/>
      <w:color w:val="204A87"/>
      <w:sz w:val="22"/>
      <w:shd w:val="clear" w:color="auto" w:fill="F8F8F8"/>
    </w:rPr>
  </w:style>
  <w:style w:type="character" w:customStyle="1" w:styleId="DataTypeTok">
    <w:name w:val="DataTypeTok"/>
    <w:basedOn w:val="VerbatimChar"/>
    <w:rPr>
      <w:rFonts w:ascii="Consolas" w:hAnsi="Consolas"/>
      <w:b/>
      <w:color w:val="204A87"/>
      <w:sz w:val="22"/>
      <w:shd w:val="clear" w:color="auto" w:fill="F8F8F8"/>
    </w:rPr>
  </w:style>
  <w:style w:type="character" w:customStyle="1" w:styleId="DecValTok">
    <w:name w:val="DecValTok"/>
    <w:basedOn w:val="VerbatimChar"/>
    <w:rPr>
      <w:rFonts w:ascii="Consolas" w:hAnsi="Consolas"/>
      <w:b/>
      <w:color w:val="0000CF"/>
      <w:sz w:val="22"/>
      <w:shd w:val="clear" w:color="auto" w:fill="F8F8F8"/>
    </w:rPr>
  </w:style>
  <w:style w:type="character" w:customStyle="1" w:styleId="BaseNTok">
    <w:name w:val="BaseNTok"/>
    <w:basedOn w:val="VerbatimChar"/>
    <w:rPr>
      <w:rFonts w:ascii="Consolas" w:hAnsi="Consolas"/>
      <w:b/>
      <w:color w:val="0000CF"/>
      <w:sz w:val="22"/>
      <w:shd w:val="clear" w:color="auto" w:fill="F8F8F8"/>
    </w:rPr>
  </w:style>
  <w:style w:type="character" w:customStyle="1" w:styleId="FloatTok">
    <w:name w:val="FloatTok"/>
    <w:basedOn w:val="VerbatimChar"/>
    <w:rPr>
      <w:rFonts w:ascii="Consolas" w:hAnsi="Consolas"/>
      <w:b/>
      <w:color w:val="0000CF"/>
      <w:sz w:val="22"/>
      <w:shd w:val="clear" w:color="auto" w:fill="F8F8F8"/>
    </w:rPr>
  </w:style>
  <w:style w:type="character" w:customStyle="1" w:styleId="ConstantTok">
    <w:name w:val="ConstantTok"/>
    <w:basedOn w:val="VerbatimChar"/>
    <w:rPr>
      <w:rFonts w:ascii="Consolas" w:hAnsi="Consolas"/>
      <w:b/>
      <w:color w:val="000000"/>
      <w:sz w:val="22"/>
      <w:shd w:val="clear" w:color="auto" w:fill="F8F8F8"/>
    </w:rPr>
  </w:style>
  <w:style w:type="character" w:customStyle="1" w:styleId="CharTok">
    <w:name w:val="CharTok"/>
    <w:basedOn w:val="VerbatimChar"/>
    <w:rPr>
      <w:rFonts w:ascii="Consolas" w:hAnsi="Consolas"/>
      <w:b/>
      <w:color w:val="4E9A06"/>
      <w:sz w:val="22"/>
      <w:shd w:val="clear" w:color="auto" w:fill="F8F8F8"/>
    </w:rPr>
  </w:style>
  <w:style w:type="character" w:customStyle="1" w:styleId="SpecialCharTok">
    <w:name w:val="SpecialCharTok"/>
    <w:basedOn w:val="VerbatimChar"/>
    <w:rPr>
      <w:rFonts w:ascii="Consolas" w:hAnsi="Consolas"/>
      <w:b/>
      <w:color w:val="000000"/>
      <w:sz w:val="22"/>
      <w:shd w:val="clear" w:color="auto" w:fill="F8F8F8"/>
    </w:rPr>
  </w:style>
  <w:style w:type="character" w:customStyle="1" w:styleId="StringTok">
    <w:name w:val="StringTok"/>
    <w:basedOn w:val="VerbatimChar"/>
    <w:rPr>
      <w:rFonts w:ascii="Consolas" w:hAnsi="Consolas"/>
      <w:b/>
      <w:color w:val="4E9A06"/>
      <w:sz w:val="22"/>
      <w:shd w:val="clear" w:color="auto" w:fill="F8F8F8"/>
    </w:rPr>
  </w:style>
  <w:style w:type="character" w:customStyle="1" w:styleId="VerbatimStringTok">
    <w:name w:val="VerbatimStringTok"/>
    <w:basedOn w:val="VerbatimChar"/>
    <w:rPr>
      <w:rFonts w:ascii="Consolas" w:hAnsi="Consolas"/>
      <w:b/>
      <w:color w:val="4E9A06"/>
      <w:sz w:val="22"/>
      <w:shd w:val="clear" w:color="auto" w:fill="F8F8F8"/>
    </w:rPr>
  </w:style>
  <w:style w:type="character" w:customStyle="1" w:styleId="SpecialStringTok">
    <w:name w:val="SpecialStringTok"/>
    <w:basedOn w:val="VerbatimChar"/>
    <w:rPr>
      <w:rFonts w:ascii="Consolas" w:hAnsi="Consolas"/>
      <w:b/>
      <w:color w:val="4E9A06"/>
      <w:sz w:val="22"/>
      <w:shd w:val="clear" w:color="auto" w:fill="F8F8F8"/>
    </w:rPr>
  </w:style>
  <w:style w:type="character" w:customStyle="1" w:styleId="ImportTok">
    <w:name w:val="ImportTok"/>
    <w:basedOn w:val="VerbatimChar"/>
    <w:rPr>
      <w:rFonts w:ascii="Consolas" w:hAnsi="Consolas"/>
      <w:b/>
      <w:sz w:val="22"/>
      <w:shd w:val="clear" w:color="auto" w:fill="F8F8F8"/>
    </w:rPr>
  </w:style>
  <w:style w:type="character" w:customStyle="1" w:styleId="CommentTok">
    <w:name w:val="CommentTok"/>
    <w:basedOn w:val="VerbatimChar"/>
    <w:rPr>
      <w:rFonts w:ascii="Consolas" w:hAnsi="Consolas"/>
      <w:b/>
      <w:i/>
      <w:color w:val="8F5902"/>
      <w:sz w:val="22"/>
      <w:shd w:val="clear" w:color="auto" w:fill="F8F8F8"/>
    </w:rPr>
  </w:style>
  <w:style w:type="character" w:customStyle="1" w:styleId="DocumentationTok">
    <w:name w:val="DocumentationTok"/>
    <w:basedOn w:val="VerbatimChar"/>
    <w:rPr>
      <w:rFonts w:ascii="Consolas" w:hAnsi="Consolas"/>
      <w:b w:val="0"/>
      <w:i/>
      <w:color w:val="8F5902"/>
      <w:sz w:val="22"/>
      <w:shd w:val="clear" w:color="auto" w:fill="F8F8F8"/>
    </w:rPr>
  </w:style>
  <w:style w:type="character" w:customStyle="1" w:styleId="AnnotationTok">
    <w:name w:val="AnnotationTok"/>
    <w:basedOn w:val="VerbatimChar"/>
    <w:rPr>
      <w:rFonts w:ascii="Consolas" w:hAnsi="Consolas"/>
      <w:b w:val="0"/>
      <w:i/>
      <w:color w:val="8F5902"/>
      <w:sz w:val="22"/>
      <w:shd w:val="clear" w:color="auto" w:fill="F8F8F8"/>
    </w:rPr>
  </w:style>
  <w:style w:type="character" w:customStyle="1" w:styleId="CommentVarTok">
    <w:name w:val="CommentVarTok"/>
    <w:basedOn w:val="VerbatimChar"/>
    <w:rPr>
      <w:rFonts w:ascii="Consolas" w:hAnsi="Consolas"/>
      <w:b w:val="0"/>
      <w:i/>
      <w:color w:val="8F5902"/>
      <w:sz w:val="22"/>
      <w:shd w:val="clear" w:color="auto" w:fill="F8F8F8"/>
    </w:rPr>
  </w:style>
  <w:style w:type="character" w:customStyle="1" w:styleId="OtherTok">
    <w:name w:val="OtherTok"/>
    <w:basedOn w:val="VerbatimChar"/>
    <w:rPr>
      <w:rFonts w:ascii="Consolas" w:hAnsi="Consolas"/>
      <w:b/>
      <w:color w:val="8F5902"/>
      <w:sz w:val="22"/>
      <w:shd w:val="clear" w:color="auto" w:fill="F8F8F8"/>
    </w:rPr>
  </w:style>
  <w:style w:type="character" w:customStyle="1" w:styleId="FunctionTok">
    <w:name w:val="FunctionTok"/>
    <w:basedOn w:val="VerbatimChar"/>
    <w:rPr>
      <w:rFonts w:ascii="Consolas" w:hAnsi="Consolas"/>
      <w:b/>
      <w:color w:val="000000"/>
      <w:sz w:val="22"/>
      <w:shd w:val="clear" w:color="auto" w:fill="F8F8F8"/>
    </w:rPr>
  </w:style>
  <w:style w:type="character" w:customStyle="1" w:styleId="VariableTok">
    <w:name w:val="VariableTok"/>
    <w:basedOn w:val="VerbatimChar"/>
    <w:rPr>
      <w:rFonts w:ascii="Consolas" w:hAnsi="Consolas"/>
      <w:b/>
      <w:color w:val="000000"/>
      <w:sz w:val="22"/>
      <w:shd w:val="clear" w:color="auto" w:fill="F8F8F8"/>
    </w:rPr>
  </w:style>
  <w:style w:type="character" w:customStyle="1" w:styleId="ControlFlowTok">
    <w:name w:val="ControlFlowTok"/>
    <w:basedOn w:val="VerbatimChar"/>
    <w:rPr>
      <w:rFonts w:ascii="Consolas" w:hAnsi="Consolas"/>
      <w:b w:val="0"/>
      <w:color w:val="204A87"/>
      <w:sz w:val="22"/>
      <w:shd w:val="clear" w:color="auto" w:fill="F8F8F8"/>
    </w:rPr>
  </w:style>
  <w:style w:type="character" w:customStyle="1" w:styleId="OperatorTok">
    <w:name w:val="OperatorTok"/>
    <w:basedOn w:val="VerbatimChar"/>
    <w:rPr>
      <w:rFonts w:ascii="Consolas" w:hAnsi="Consolas"/>
      <w:b w:val="0"/>
      <w:color w:val="CE5C00"/>
      <w:sz w:val="22"/>
      <w:shd w:val="clear" w:color="auto" w:fill="F8F8F8"/>
    </w:rPr>
  </w:style>
  <w:style w:type="character" w:customStyle="1" w:styleId="BuiltInTok">
    <w:name w:val="BuiltInTok"/>
    <w:basedOn w:val="VerbatimChar"/>
    <w:rPr>
      <w:rFonts w:ascii="Consolas" w:hAnsi="Consolas"/>
      <w:b/>
      <w:sz w:val="22"/>
      <w:shd w:val="clear" w:color="auto" w:fill="F8F8F8"/>
    </w:rPr>
  </w:style>
  <w:style w:type="character" w:customStyle="1" w:styleId="ExtensionTok">
    <w:name w:val="ExtensionTok"/>
    <w:basedOn w:val="VerbatimChar"/>
    <w:rPr>
      <w:rFonts w:ascii="Consolas" w:hAnsi="Consolas"/>
      <w:b/>
      <w:sz w:val="22"/>
      <w:shd w:val="clear" w:color="auto" w:fill="F8F8F8"/>
    </w:rPr>
  </w:style>
  <w:style w:type="character" w:customStyle="1" w:styleId="PreprocessorTok">
    <w:name w:val="PreprocessorTok"/>
    <w:basedOn w:val="VerbatimChar"/>
    <w:rPr>
      <w:rFonts w:ascii="Consolas" w:hAnsi="Consolas"/>
      <w:b/>
      <w:i/>
      <w:color w:val="8F5902"/>
      <w:sz w:val="22"/>
      <w:shd w:val="clear" w:color="auto" w:fill="F8F8F8"/>
    </w:rPr>
  </w:style>
  <w:style w:type="character" w:customStyle="1" w:styleId="AttributeTok">
    <w:name w:val="AttributeTok"/>
    <w:basedOn w:val="VerbatimChar"/>
    <w:rPr>
      <w:rFonts w:ascii="Consolas" w:hAnsi="Consolas"/>
      <w:b/>
      <w:color w:val="C4A000"/>
      <w:sz w:val="22"/>
      <w:shd w:val="clear" w:color="auto" w:fill="F8F8F8"/>
    </w:rPr>
  </w:style>
  <w:style w:type="character" w:customStyle="1" w:styleId="RegionMarkerTok">
    <w:name w:val="RegionMarkerTok"/>
    <w:basedOn w:val="VerbatimChar"/>
    <w:rPr>
      <w:rFonts w:ascii="Consolas" w:hAnsi="Consolas"/>
      <w:b/>
      <w:sz w:val="22"/>
      <w:shd w:val="clear" w:color="auto" w:fill="F8F8F8"/>
    </w:rPr>
  </w:style>
  <w:style w:type="character" w:customStyle="1" w:styleId="InformationTok">
    <w:name w:val="InformationTok"/>
    <w:basedOn w:val="VerbatimChar"/>
    <w:rPr>
      <w:rFonts w:ascii="Consolas" w:hAnsi="Consolas"/>
      <w:b w:val="0"/>
      <w:i/>
      <w:color w:val="8F5902"/>
      <w:sz w:val="22"/>
      <w:shd w:val="clear" w:color="auto" w:fill="F8F8F8"/>
    </w:rPr>
  </w:style>
  <w:style w:type="character" w:customStyle="1" w:styleId="WarningTok">
    <w:name w:val="WarningTok"/>
    <w:basedOn w:val="VerbatimChar"/>
    <w:rPr>
      <w:rFonts w:ascii="Consolas" w:hAnsi="Consolas"/>
      <w:b w:val="0"/>
      <w:i/>
      <w:color w:val="8F5902"/>
      <w:sz w:val="22"/>
      <w:shd w:val="clear" w:color="auto" w:fill="F8F8F8"/>
    </w:rPr>
  </w:style>
  <w:style w:type="character" w:customStyle="1" w:styleId="AlertTok">
    <w:name w:val="AlertTok"/>
    <w:basedOn w:val="VerbatimChar"/>
    <w:rPr>
      <w:rFonts w:ascii="Consolas" w:hAnsi="Consolas"/>
      <w:b/>
      <w:color w:val="EF2929"/>
      <w:sz w:val="22"/>
      <w:shd w:val="clear" w:color="auto" w:fill="F8F8F8"/>
    </w:rPr>
  </w:style>
  <w:style w:type="character" w:customStyle="1" w:styleId="ErrorTok">
    <w:name w:val="ErrorTok"/>
    <w:basedOn w:val="VerbatimChar"/>
    <w:rPr>
      <w:rFonts w:ascii="Consolas" w:hAnsi="Consolas"/>
      <w:b w:val="0"/>
      <w:color w:val="A40000"/>
      <w:sz w:val="22"/>
      <w:shd w:val="clear" w:color="auto" w:fill="F8F8F8"/>
    </w:rPr>
  </w:style>
  <w:style w:type="character" w:customStyle="1" w:styleId="NormalTok">
    <w:name w:val="NormalTok"/>
    <w:basedOn w:val="VerbatimChar"/>
    <w:rPr>
      <w:rFonts w:ascii="Consolas" w:hAnsi="Consolas"/>
      <w:b/>
      <w:sz w:val="22"/>
      <w:shd w:val="clear" w:color="auto" w:fill="F8F8F8"/>
    </w:rPr>
  </w:style>
  <w:style w:type="character" w:customStyle="1" w:styleId="BodyTextChar">
    <w:name w:val="Body Text Char"/>
    <w:basedOn w:val="DefaultParagraphFont"/>
    <w:link w:val="BodyText"/>
    <w:rsid w:val="00AC3F01"/>
    <w:rPr>
      <w:rFonts w:ascii="Times New Roman" w:hAnsi="Times New Roman"/>
    </w:rPr>
  </w:style>
  <w:style w:type="character" w:customStyle="1" w:styleId="Heading7Char">
    <w:name w:val="Heading 7 Char"/>
    <w:basedOn w:val="DefaultParagraphFont"/>
    <w:link w:val="Heading7"/>
    <w:rsid w:val="00FD31CA"/>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rsid w:val="00FD31C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rsid w:val="00FD31CA"/>
    <w:rPr>
      <w:rFonts w:asciiTheme="majorHAnsi" w:eastAsiaTheme="majorEastAsia" w:hAnsiTheme="majorHAnsi" w:cstheme="majorBidi"/>
      <w:i/>
      <w:iCs/>
      <w:color w:val="404040" w:themeColor="text1" w:themeTint="BF"/>
      <w:sz w:val="20"/>
      <w:szCs w:val="20"/>
    </w:rPr>
  </w:style>
  <w:style w:type="paragraph" w:styleId="Header">
    <w:name w:val="header"/>
    <w:basedOn w:val="Normal"/>
    <w:link w:val="HeaderChar"/>
    <w:unhideWhenUsed/>
    <w:rsid w:val="0046739F"/>
    <w:pPr>
      <w:tabs>
        <w:tab w:val="center" w:pos="4680"/>
        <w:tab w:val="right" w:pos="9360"/>
      </w:tabs>
      <w:spacing w:after="0"/>
    </w:pPr>
  </w:style>
  <w:style w:type="character" w:customStyle="1" w:styleId="HeaderChar">
    <w:name w:val="Header Char"/>
    <w:basedOn w:val="DefaultParagraphFont"/>
    <w:link w:val="Header"/>
    <w:rsid w:val="0046739F"/>
  </w:style>
  <w:style w:type="paragraph" w:styleId="Footer">
    <w:name w:val="footer"/>
    <w:basedOn w:val="Normal"/>
    <w:link w:val="FooterChar"/>
    <w:uiPriority w:val="99"/>
    <w:unhideWhenUsed/>
    <w:rsid w:val="0046739F"/>
    <w:pPr>
      <w:tabs>
        <w:tab w:val="center" w:pos="4680"/>
        <w:tab w:val="right" w:pos="9360"/>
      </w:tabs>
      <w:spacing w:after="0"/>
    </w:pPr>
  </w:style>
  <w:style w:type="character" w:customStyle="1" w:styleId="FooterChar">
    <w:name w:val="Footer Char"/>
    <w:basedOn w:val="DefaultParagraphFont"/>
    <w:link w:val="Footer"/>
    <w:uiPriority w:val="99"/>
    <w:rsid w:val="0046739F"/>
  </w:style>
  <w:style w:type="paragraph" w:styleId="BalloonText">
    <w:name w:val="Balloon Text"/>
    <w:basedOn w:val="Normal"/>
    <w:link w:val="BalloonTextChar"/>
    <w:semiHidden/>
    <w:unhideWhenUsed/>
    <w:rsid w:val="00AC3F01"/>
    <w:pPr>
      <w:spacing w:after="0"/>
    </w:pPr>
    <w:rPr>
      <w:rFonts w:ascii="Tahoma" w:hAnsi="Tahoma" w:cs="Tahoma"/>
      <w:sz w:val="16"/>
      <w:szCs w:val="16"/>
    </w:rPr>
  </w:style>
  <w:style w:type="character" w:customStyle="1" w:styleId="BalloonTextChar">
    <w:name w:val="Balloon Text Char"/>
    <w:basedOn w:val="DefaultParagraphFont"/>
    <w:link w:val="BalloonText"/>
    <w:semiHidden/>
    <w:rsid w:val="00AC3F0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Id="rId8" Type="http://schemas.openxmlformats.org/officeDocument/2006/relationships/footer" Target="footer1.xml" /><Relationship Type="http://schemas.openxmlformats.org/officeDocument/2006/relationships/image" Id="rId44" Target="media/rId44.png" /><Relationship Type="http://schemas.openxmlformats.org/officeDocument/2006/relationships/image" Id="rId42" Target="media/rId42.png" /><Relationship Type="http://schemas.openxmlformats.org/officeDocument/2006/relationships/image" Id="rId40" Target="media/rId40.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8" Target="media/rId38.png" /><Relationship Type="http://schemas.openxmlformats.org/officeDocument/2006/relationships/image" Id="rId27" Target="media/rId27.png" /><Relationship Type="http://schemas.openxmlformats.org/officeDocument/2006/relationships/image" Id="rId32" Target="media/rId32.png" /><Relationship Type="http://schemas.openxmlformats.org/officeDocument/2006/relationships/hyperlink" Id="rId55" Target="https://doi.org/10.1007/s10584-011-0149-y" TargetMode="External" /><Relationship Type="http://schemas.openxmlformats.org/officeDocument/2006/relationships/hyperlink" Id="rId56" Target="https://doi.org/10.1007/s10584-013-0906-1" TargetMode="External" /><Relationship Type="http://schemas.openxmlformats.org/officeDocument/2006/relationships/hyperlink" Id="rId51" Target="https://doi.org/10.1016/J.GLOENVCHA.2016.06.004" TargetMode="External" /><Relationship Type="http://schemas.openxmlformats.org/officeDocument/2006/relationships/hyperlink" Id="rId50" Target="https://doi.org/10.1016/j.agsy.2004.05.006" TargetMode="External" /><Relationship Type="http://schemas.openxmlformats.org/officeDocument/2006/relationships/hyperlink" Id="rId58" Target="https://doi.org/10.1016/j.agsy.2010.07.005" TargetMode="External" /><Relationship Type="http://schemas.openxmlformats.org/officeDocument/2006/relationships/hyperlink" Id="rId53" Target="https://doi.org/10.1016/j.gloenvcha.2012.05.005" TargetMode="External" /><Relationship Type="http://schemas.openxmlformats.org/officeDocument/2006/relationships/hyperlink" Id="rId54" Target="https://doi.org/10.1016/j.gloenvcha.2015.01.004" TargetMode="External" /><Relationship Type="http://schemas.openxmlformats.org/officeDocument/2006/relationships/hyperlink" Id="rId57" Target="https://doi.org/10.1016/j.gloenvcha.2016.10.009" TargetMode="External" /><Relationship Type="http://schemas.openxmlformats.org/officeDocument/2006/relationships/hyperlink" Id="rId52" Target="https://doi.org/10.1073/pnas.1308044111" TargetMode="External" /></Relationships>
</file>

<file path=word/_rels/footnotes.xml.rels><?xml version="1.0" encoding="UTF-8"?>
<Relationships xmlns="http://schemas.openxmlformats.org/package/2006/relationships"><Relationship Type="http://schemas.openxmlformats.org/officeDocument/2006/relationships/hyperlink" Id="rId55" Target="https://doi.org/10.1007/s10584-011-0149-y" TargetMode="External" /><Relationship Type="http://schemas.openxmlformats.org/officeDocument/2006/relationships/hyperlink" Id="rId56" Target="https://doi.org/10.1007/s10584-013-0906-1" TargetMode="External" /><Relationship Type="http://schemas.openxmlformats.org/officeDocument/2006/relationships/hyperlink" Id="rId51" Target="https://doi.org/10.1016/J.GLOENVCHA.2016.06.004" TargetMode="External" /><Relationship Type="http://schemas.openxmlformats.org/officeDocument/2006/relationships/hyperlink" Id="rId50" Target="https://doi.org/10.1016/j.agsy.2004.05.006" TargetMode="External" /><Relationship Type="http://schemas.openxmlformats.org/officeDocument/2006/relationships/hyperlink" Id="rId58" Target="https://doi.org/10.1016/j.agsy.2010.07.005" TargetMode="External" /><Relationship Type="http://schemas.openxmlformats.org/officeDocument/2006/relationships/hyperlink" Id="rId53" Target="https://doi.org/10.1016/j.gloenvcha.2012.05.005" TargetMode="External" /><Relationship Type="http://schemas.openxmlformats.org/officeDocument/2006/relationships/hyperlink" Id="rId54" Target="https://doi.org/10.1016/j.gloenvcha.2015.01.004" TargetMode="External" /><Relationship Type="http://schemas.openxmlformats.org/officeDocument/2006/relationships/hyperlink" Id="rId57" Target="https://doi.org/10.1016/j.gloenvcha.2016.10.009" TargetMode="External" /><Relationship Type="http://schemas.openxmlformats.org/officeDocument/2006/relationships/hyperlink" Id="rId52" Target="https://doi.org/10.1073/pnas.1308044111"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23</Pages>
  <Words>7212</Words>
  <Characters>41113</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Decomposing economic and technology yield gaps in Nigeria</vt:lpstr>
    </vt:vector>
  </TitlesOfParts>
  <Company>Wageningen UR</Company>
  <LinksUpToDate>false</LinksUpToDate>
  <CharactersWithSpaces>48229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Zambia CSIP</dc:title>
  <dc:creator>Michiel van Dijk, Amanda Palazzo and Petr Havlik</dc:creator>
  <dcterms:created xsi:type="dcterms:W3CDTF">2018-04-27T15:01:05Z</dcterms:created>
  <dcterms:modified xsi:type="dcterms:W3CDTF">2018-04-27T15:01:05Z</dcterms:modified>
</cp:coreProperties>
</file>